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159D7" w14:textId="77777777" w:rsidR="00856DC2" w:rsidRDefault="00F61F60" w:rsidP="00BC489D">
      <w:pPr>
        <w:spacing w:before="100" w:beforeAutospacing="1" w:after="0"/>
        <w:jc w:val="center"/>
        <w:rPr>
          <w:b/>
          <w:sz w:val="32"/>
        </w:rPr>
      </w:pPr>
      <w:bookmarkStart w:id="0" w:name="_Hlk522103366"/>
      <w:bookmarkStart w:id="1" w:name="OLE_LINK2"/>
      <w:r>
        <w:rPr>
          <w:b/>
          <w:noProof/>
          <w:sz w:val="32"/>
          <w:lang w:eastAsia="en-GB"/>
        </w:rPr>
        <w:drawing>
          <wp:inline distT="0" distB="0" distL="0" distR="0" wp14:anchorId="0168142E" wp14:editId="10DAC7F6">
            <wp:extent cx="1314450" cy="571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571500"/>
                    </a:xfrm>
                    <a:prstGeom prst="rect">
                      <a:avLst/>
                    </a:prstGeom>
                    <a:noFill/>
                    <a:ln>
                      <a:noFill/>
                    </a:ln>
                  </pic:spPr>
                </pic:pic>
              </a:graphicData>
            </a:graphic>
          </wp:inline>
        </w:drawing>
      </w:r>
      <w:bookmarkEnd w:id="0"/>
      <w:bookmarkEnd w:id="1"/>
    </w:p>
    <w:p w14:paraId="0C403F63" w14:textId="77777777" w:rsidR="00856DC2" w:rsidRPr="00DA7BF3" w:rsidRDefault="00856DC2" w:rsidP="00856DC2">
      <w:pPr>
        <w:spacing w:before="960"/>
        <w:jc w:val="center"/>
        <w:rPr>
          <w:sz w:val="32"/>
        </w:rPr>
      </w:pPr>
      <w:r w:rsidRPr="00807DAF">
        <w:rPr>
          <w:b/>
          <w:sz w:val="32"/>
        </w:rPr>
        <w:t>Contracting Authority</w:t>
      </w:r>
      <w:r w:rsidRPr="00807DAF">
        <w:rPr>
          <w:sz w:val="32"/>
        </w:rPr>
        <w:t xml:space="preserve">: </w:t>
      </w:r>
      <w:r>
        <w:rPr>
          <w:sz w:val="32"/>
        </w:rPr>
        <w:t>European Commission</w:t>
      </w:r>
    </w:p>
    <w:p w14:paraId="17CC67DF" w14:textId="77777777" w:rsidR="00856DC2" w:rsidRPr="00807DAF" w:rsidRDefault="00025EAB" w:rsidP="00025EAB">
      <w:pPr>
        <w:pStyle w:val="Title"/>
        <w:spacing w:before="600"/>
        <w:outlineLvl w:val="0"/>
        <w:rPr>
          <w:b w:val="0"/>
          <w:sz w:val="32"/>
          <w:szCs w:val="32"/>
        </w:rPr>
      </w:pPr>
      <w:r w:rsidRPr="00D8316F">
        <w:rPr>
          <w:b w:val="0"/>
          <w:sz w:val="32"/>
          <w:szCs w:val="32"/>
        </w:rPr>
        <w:t>EU4CSOs In Ukraine - Call for Proposals 2025</w:t>
      </w:r>
    </w:p>
    <w:p w14:paraId="17B9A49D" w14:textId="77777777" w:rsidR="00856DC2" w:rsidRPr="00914130" w:rsidRDefault="00856DC2" w:rsidP="00856DC2">
      <w:pPr>
        <w:pStyle w:val="SubTitle1"/>
        <w:spacing w:before="480"/>
        <w:rPr>
          <w:sz w:val="32"/>
          <w:szCs w:val="32"/>
        </w:rPr>
      </w:pPr>
      <w:r w:rsidRPr="00914130">
        <w:rPr>
          <w:sz w:val="32"/>
          <w:szCs w:val="32"/>
        </w:rPr>
        <w:t>Guidelines for grant</w:t>
      </w:r>
      <w:r>
        <w:rPr>
          <w:sz w:val="32"/>
          <w:szCs w:val="32"/>
        </w:rPr>
        <w:t xml:space="preserve"> </w:t>
      </w:r>
      <w:r w:rsidRPr="00914130">
        <w:rPr>
          <w:sz w:val="32"/>
          <w:szCs w:val="32"/>
        </w:rPr>
        <w:t>applicants</w:t>
      </w:r>
    </w:p>
    <w:p w14:paraId="47ECE344" w14:textId="77777777" w:rsidR="005C6E05" w:rsidRPr="005C6E05" w:rsidRDefault="00856DC2" w:rsidP="005C6E05">
      <w:pPr>
        <w:pStyle w:val="SubTitle1"/>
        <w:spacing w:before="480"/>
        <w:rPr>
          <w:b w:val="0"/>
          <w:sz w:val="32"/>
          <w:szCs w:val="32"/>
        </w:rPr>
      </w:pPr>
      <w:r w:rsidRPr="007904B1">
        <w:rPr>
          <w:b w:val="0"/>
          <w:sz w:val="32"/>
          <w:szCs w:val="32"/>
        </w:rPr>
        <w:t>Budget line(s):</w:t>
      </w:r>
      <w:r w:rsidR="005C6E05">
        <w:rPr>
          <w:b w:val="0"/>
          <w:sz w:val="32"/>
          <w:szCs w:val="32"/>
        </w:rPr>
        <w:t xml:space="preserve"> Ukraine Facility </w:t>
      </w:r>
      <w:r w:rsidR="005C6E05">
        <w:rPr>
          <w:b w:val="0"/>
          <w:sz w:val="32"/>
          <w:szCs w:val="32"/>
        </w:rPr>
        <w:br/>
      </w:r>
      <w:r w:rsidR="00025EAB">
        <w:rPr>
          <w:b w:val="0"/>
          <w:sz w:val="32"/>
          <w:szCs w:val="32"/>
        </w:rPr>
        <w:t xml:space="preserve">Allocation </w:t>
      </w:r>
      <w:r w:rsidR="005C6E05">
        <w:rPr>
          <w:b w:val="0"/>
          <w:sz w:val="32"/>
          <w:szCs w:val="32"/>
        </w:rPr>
        <w:t>2024 (</w:t>
      </w:r>
      <w:r w:rsidR="005C6E05" w:rsidRPr="005C6E05">
        <w:rPr>
          <w:b w:val="0"/>
          <w:sz w:val="32"/>
          <w:szCs w:val="32"/>
        </w:rPr>
        <w:t>JAD.1574104</w:t>
      </w:r>
      <w:r w:rsidR="005C6E05">
        <w:rPr>
          <w:b w:val="0"/>
          <w:sz w:val="32"/>
          <w:szCs w:val="32"/>
        </w:rPr>
        <w:t>) and 2025 (</w:t>
      </w:r>
      <w:r w:rsidR="005C6E05" w:rsidRPr="005C6E05">
        <w:rPr>
          <w:b w:val="0"/>
          <w:sz w:val="32"/>
          <w:szCs w:val="32"/>
        </w:rPr>
        <w:t>JAG.SUM.1852139</w:t>
      </w:r>
      <w:r w:rsidR="005C6E05">
        <w:rPr>
          <w:b w:val="0"/>
          <w:sz w:val="32"/>
          <w:szCs w:val="32"/>
        </w:rPr>
        <w:t>)</w:t>
      </w:r>
    </w:p>
    <w:p w14:paraId="65D78570" w14:textId="77777777" w:rsidR="00856DC2" w:rsidRPr="00B965AB" w:rsidRDefault="00856DC2" w:rsidP="00856DC2">
      <w:pPr>
        <w:jc w:val="center"/>
        <w:rPr>
          <w:sz w:val="32"/>
          <w:szCs w:val="32"/>
        </w:rPr>
      </w:pPr>
    </w:p>
    <w:p w14:paraId="1826FC72" w14:textId="77777777" w:rsidR="00856DC2" w:rsidRPr="00B965AB" w:rsidRDefault="00856DC2" w:rsidP="00856DC2">
      <w:pPr>
        <w:pStyle w:val="SubTitle2"/>
        <w:rPr>
          <w:b w:val="0"/>
          <w:noProof/>
          <w:szCs w:val="32"/>
        </w:rPr>
      </w:pPr>
      <w:r w:rsidRPr="00B965AB">
        <w:rPr>
          <w:b w:val="0"/>
          <w:szCs w:val="32"/>
        </w:rPr>
        <w:t>Reference:</w:t>
      </w:r>
      <w:r w:rsidRPr="00B965AB">
        <w:rPr>
          <w:b w:val="0"/>
          <w:szCs w:val="32"/>
        </w:rPr>
        <w:br/>
        <w:t>EuropeAid/</w:t>
      </w:r>
      <w:r w:rsidRPr="00B965AB">
        <w:rPr>
          <w:b w:val="0"/>
          <w:noProof/>
          <w:szCs w:val="32"/>
        </w:rPr>
        <w:t>184490</w:t>
      </w:r>
      <w:r w:rsidRPr="00B965AB">
        <w:rPr>
          <w:b w:val="0"/>
          <w:szCs w:val="32"/>
        </w:rPr>
        <w:t>/</w:t>
      </w:r>
      <w:r w:rsidRPr="00B965AB">
        <w:rPr>
          <w:b w:val="0"/>
          <w:noProof/>
          <w:szCs w:val="32"/>
        </w:rPr>
        <w:t>DD/ACT/UA</w:t>
      </w:r>
    </w:p>
    <w:p w14:paraId="2AAF6454" w14:textId="77777777" w:rsidR="00856DC2" w:rsidRDefault="00856DC2" w:rsidP="00856DC2">
      <w:pPr>
        <w:pStyle w:val="SubTitle2"/>
        <w:spacing w:after="120"/>
        <w:rPr>
          <w:b w:val="0"/>
          <w:noProof/>
          <w:szCs w:val="32"/>
        </w:rPr>
      </w:pPr>
      <w:r w:rsidRPr="00B965AB">
        <w:rPr>
          <w:b w:val="0"/>
          <w:noProof/>
          <w:szCs w:val="32"/>
        </w:rPr>
        <w:t>Deadline for submission</w:t>
      </w:r>
      <w:r w:rsidRPr="00B965AB">
        <w:rPr>
          <w:rStyle w:val="FootnoteReference"/>
          <w:b w:val="0"/>
          <w:szCs w:val="32"/>
        </w:rPr>
        <w:footnoteReference w:id="2"/>
      </w:r>
      <w:r w:rsidRPr="00B965AB">
        <w:rPr>
          <w:b w:val="0"/>
          <w:noProof/>
          <w:szCs w:val="32"/>
        </w:rPr>
        <w:t xml:space="preserve"> of </w:t>
      </w:r>
      <w:r>
        <w:rPr>
          <w:b w:val="0"/>
          <w:noProof/>
          <w:szCs w:val="32"/>
        </w:rPr>
        <w:t>c</w:t>
      </w:r>
      <w:r w:rsidRPr="00B965AB">
        <w:rPr>
          <w:b w:val="0"/>
          <w:noProof/>
          <w:szCs w:val="32"/>
        </w:rPr>
        <w:t xml:space="preserve">oncept </w:t>
      </w:r>
      <w:r>
        <w:rPr>
          <w:b w:val="0"/>
          <w:noProof/>
          <w:szCs w:val="32"/>
        </w:rPr>
        <w:t>n</w:t>
      </w:r>
      <w:r w:rsidRPr="00B965AB">
        <w:rPr>
          <w:b w:val="0"/>
          <w:noProof/>
          <w:szCs w:val="32"/>
        </w:rPr>
        <w:t>ote</w:t>
      </w:r>
      <w:r>
        <w:rPr>
          <w:b w:val="0"/>
          <w:noProof/>
          <w:szCs w:val="32"/>
        </w:rPr>
        <w:t>s</w:t>
      </w:r>
      <w:r w:rsidRPr="00B965AB">
        <w:rPr>
          <w:b w:val="0"/>
          <w:noProof/>
          <w:szCs w:val="32"/>
        </w:rPr>
        <w:t>:</w:t>
      </w:r>
    </w:p>
    <w:p w14:paraId="25A8A5DC" w14:textId="77777777" w:rsidR="00856DC2" w:rsidRPr="00B965AB" w:rsidRDefault="00856DC2" w:rsidP="00856DC2">
      <w:pPr>
        <w:pStyle w:val="SubTitle2"/>
        <w:spacing w:after="120"/>
        <w:rPr>
          <w:b w:val="0"/>
          <w:noProof/>
          <w:szCs w:val="32"/>
        </w:rPr>
      </w:pPr>
    </w:p>
    <w:p w14:paraId="51EFBD5E" w14:textId="77777777" w:rsidR="00856DC2" w:rsidRPr="008D1F59" w:rsidRDefault="00250D7E" w:rsidP="00856DC2">
      <w:pPr>
        <w:pStyle w:val="SubTitle2"/>
        <w:rPr>
          <w:noProof/>
          <w:szCs w:val="32"/>
        </w:rPr>
      </w:pPr>
      <w:r>
        <w:rPr>
          <w:noProof/>
          <w:szCs w:val="32"/>
        </w:rPr>
        <w:t>29</w:t>
      </w:r>
      <w:r w:rsidR="001A2CE2">
        <w:rPr>
          <w:noProof/>
          <w:szCs w:val="32"/>
        </w:rPr>
        <w:t xml:space="preserve"> January 2026</w:t>
      </w:r>
      <w:r w:rsidR="00856DC2" w:rsidRPr="008D1F59">
        <w:rPr>
          <w:noProof/>
          <w:szCs w:val="32"/>
        </w:rPr>
        <w:t xml:space="preserve"> at 12:00 (Brussels date and time)</w:t>
      </w:r>
    </w:p>
    <w:p w14:paraId="75408DD2" w14:textId="77777777" w:rsidR="00856DC2" w:rsidRPr="003C3B20" w:rsidRDefault="00856DC2" w:rsidP="00856DC2">
      <w:pPr>
        <w:pStyle w:val="SubTitle2"/>
        <w:rPr>
          <w:sz w:val="24"/>
          <w:szCs w:val="24"/>
        </w:rPr>
      </w:pPr>
      <w:r w:rsidRPr="003C3B20">
        <w:rPr>
          <w:b w:val="0"/>
          <w:sz w:val="24"/>
          <w:szCs w:val="24"/>
        </w:rPr>
        <w:t>(</w:t>
      </w:r>
      <w:proofErr w:type="gramStart"/>
      <w:r w:rsidRPr="003C3B20">
        <w:rPr>
          <w:b w:val="0"/>
          <w:sz w:val="24"/>
          <w:szCs w:val="24"/>
        </w:rPr>
        <w:t>in order to</w:t>
      </w:r>
      <w:proofErr w:type="gramEnd"/>
      <w:r w:rsidRPr="003C3B20">
        <w:rPr>
          <w:b w:val="0"/>
          <w:sz w:val="24"/>
          <w:szCs w:val="24"/>
        </w:rPr>
        <w:t xml:space="preserve"> convert to local </w:t>
      </w:r>
      <w:proofErr w:type="gramStart"/>
      <w:r w:rsidRPr="003C3B20">
        <w:rPr>
          <w:b w:val="0"/>
          <w:sz w:val="24"/>
          <w:szCs w:val="24"/>
        </w:rPr>
        <w:t>time</w:t>
      </w:r>
      <w:proofErr w:type="gramEnd"/>
      <w:r w:rsidRPr="003C3B20">
        <w:rPr>
          <w:b w:val="0"/>
          <w:sz w:val="24"/>
          <w:szCs w:val="24"/>
        </w:rPr>
        <w:t xml:space="preserve"> click </w:t>
      </w:r>
      <w:hyperlink r:id="rId9" w:history="1">
        <w:r w:rsidRPr="003C3B20">
          <w:rPr>
            <w:rStyle w:val="Hyperlink"/>
            <w:sz w:val="24"/>
            <w:szCs w:val="24"/>
          </w:rPr>
          <w:t>here</w:t>
        </w:r>
      </w:hyperlink>
      <w:r w:rsidRPr="003C3B20">
        <w:rPr>
          <w:rStyle w:val="FootnoteReference"/>
          <w:szCs w:val="24"/>
        </w:rPr>
        <w:footnoteReference w:id="3"/>
      </w:r>
      <w:r w:rsidRPr="003C3B20">
        <w:rPr>
          <w:sz w:val="24"/>
          <w:szCs w:val="24"/>
        </w:rPr>
        <w:t>)</w:t>
      </w:r>
    </w:p>
    <w:p w14:paraId="488DA6DA" w14:textId="77777777" w:rsidR="007857D2" w:rsidRPr="00EE4E75" w:rsidRDefault="003E79BB" w:rsidP="00EE4E75">
      <w:pPr>
        <w:pStyle w:val="SubTitle1"/>
        <w:rPr>
          <w:sz w:val="32"/>
          <w:szCs w:val="32"/>
        </w:rPr>
      </w:pPr>
      <w:r>
        <w:rPr>
          <w:sz w:val="32"/>
          <w:szCs w:val="32"/>
        </w:rPr>
        <w:br w:type="page"/>
      </w:r>
      <w:r w:rsidR="007857D2" w:rsidRPr="00807DAF">
        <w:rPr>
          <w:sz w:val="32"/>
          <w:szCs w:val="32"/>
        </w:rPr>
        <w:lastRenderedPageBreak/>
        <w:t>NOTICE</w:t>
      </w:r>
    </w:p>
    <w:p w14:paraId="7D46D2E2" w14:textId="77777777" w:rsidR="0052492E" w:rsidRPr="00807DAF" w:rsidRDefault="0052492E" w:rsidP="0052492E">
      <w:pPr>
        <w:pStyle w:val="Subtitle"/>
        <w:spacing w:after="240"/>
        <w:jc w:val="both"/>
        <w:rPr>
          <w:rFonts w:ascii="Times New Roman" w:hAnsi="Times New Roman"/>
          <w:b w:val="0"/>
          <w:sz w:val="22"/>
          <w:szCs w:val="22"/>
          <w:lang w:val="en-GB"/>
        </w:rPr>
      </w:pPr>
      <w:r w:rsidRPr="00EE4E75">
        <w:rPr>
          <w:rFonts w:ascii="Times New Roman" w:hAnsi="Times New Roman"/>
          <w:b w:val="0"/>
          <w:sz w:val="22"/>
          <w:szCs w:val="22"/>
          <w:lang w:val="en-GB"/>
        </w:rPr>
        <w:t xml:space="preserve">This is a restricted </w:t>
      </w:r>
      <w:r w:rsidR="00D84C87" w:rsidRPr="00EE4E75">
        <w:rPr>
          <w:rFonts w:ascii="Times New Roman" w:hAnsi="Times New Roman"/>
          <w:b w:val="0"/>
          <w:sz w:val="22"/>
          <w:szCs w:val="22"/>
          <w:lang w:val="en-GB"/>
        </w:rPr>
        <w:t>c</w:t>
      </w:r>
      <w:r w:rsidRPr="00EE4E75">
        <w:rPr>
          <w:rFonts w:ascii="Times New Roman" w:hAnsi="Times New Roman"/>
          <w:b w:val="0"/>
          <w:sz w:val="22"/>
          <w:szCs w:val="22"/>
          <w:lang w:val="en-GB"/>
        </w:rPr>
        <w:t xml:space="preserve">all for </w:t>
      </w:r>
      <w:r w:rsidR="00D84C87" w:rsidRPr="00EE4E75">
        <w:rPr>
          <w:rFonts w:ascii="Times New Roman" w:hAnsi="Times New Roman"/>
          <w:b w:val="0"/>
          <w:sz w:val="22"/>
          <w:szCs w:val="22"/>
          <w:lang w:val="en-GB"/>
        </w:rPr>
        <w:t>p</w:t>
      </w:r>
      <w:r w:rsidRPr="00EE4E75">
        <w:rPr>
          <w:rFonts w:ascii="Times New Roman" w:hAnsi="Times New Roman"/>
          <w:b w:val="0"/>
          <w:sz w:val="22"/>
          <w:szCs w:val="22"/>
          <w:lang w:val="en-GB"/>
        </w:rPr>
        <w:t xml:space="preserve">roposals. In the first instance, only </w:t>
      </w:r>
      <w:r w:rsidR="00D84C87" w:rsidRPr="00EE4E75">
        <w:rPr>
          <w:rFonts w:ascii="Times New Roman" w:hAnsi="Times New Roman"/>
          <w:b w:val="0"/>
          <w:sz w:val="22"/>
          <w:szCs w:val="22"/>
          <w:lang w:val="en-GB"/>
        </w:rPr>
        <w:t>c</w:t>
      </w:r>
      <w:r w:rsidRPr="00EE4E75">
        <w:rPr>
          <w:rFonts w:ascii="Times New Roman" w:hAnsi="Times New Roman"/>
          <w:b w:val="0"/>
          <w:sz w:val="22"/>
          <w:szCs w:val="22"/>
          <w:lang w:val="en-GB"/>
        </w:rPr>
        <w:t xml:space="preserve">oncept </w:t>
      </w:r>
      <w:r w:rsidR="00D84C87" w:rsidRPr="00EE4E75">
        <w:rPr>
          <w:rFonts w:ascii="Times New Roman" w:hAnsi="Times New Roman"/>
          <w:b w:val="0"/>
          <w:sz w:val="22"/>
          <w:szCs w:val="22"/>
          <w:lang w:val="en-GB"/>
        </w:rPr>
        <w:t>n</w:t>
      </w:r>
      <w:r w:rsidRPr="00EE4E75">
        <w:rPr>
          <w:rFonts w:ascii="Times New Roman" w:hAnsi="Times New Roman"/>
          <w:b w:val="0"/>
          <w:sz w:val="22"/>
          <w:szCs w:val="22"/>
          <w:lang w:val="en-GB"/>
        </w:rPr>
        <w:t xml:space="preserve">otes </w:t>
      </w:r>
      <w:r w:rsidR="0031666A" w:rsidRPr="00EE4E75">
        <w:rPr>
          <w:rFonts w:ascii="Times New Roman" w:hAnsi="Times New Roman"/>
          <w:b w:val="0"/>
          <w:sz w:val="22"/>
          <w:szCs w:val="22"/>
          <w:lang w:val="en-GB"/>
        </w:rPr>
        <w:t>(</w:t>
      </w:r>
      <w:r w:rsidR="007879E3">
        <w:rPr>
          <w:rFonts w:ascii="Times New Roman" w:hAnsi="Times New Roman"/>
          <w:b w:val="0"/>
          <w:sz w:val="22"/>
          <w:szCs w:val="22"/>
          <w:lang w:val="en-GB"/>
        </w:rPr>
        <w:t>Annex</w:t>
      </w:r>
      <w:r w:rsidR="0031666A" w:rsidRPr="00EE4E75">
        <w:rPr>
          <w:rFonts w:ascii="Times New Roman" w:hAnsi="Times New Roman"/>
          <w:b w:val="0"/>
          <w:sz w:val="22"/>
          <w:szCs w:val="22"/>
          <w:lang w:val="en-GB"/>
        </w:rPr>
        <w:t xml:space="preserve"> A</w:t>
      </w:r>
      <w:r w:rsidR="007879E3">
        <w:rPr>
          <w:rFonts w:ascii="Times New Roman" w:hAnsi="Times New Roman"/>
          <w:b w:val="0"/>
          <w:sz w:val="22"/>
          <w:szCs w:val="22"/>
          <w:lang w:val="en-GB"/>
        </w:rPr>
        <w:t>.1</w:t>
      </w:r>
      <w:r w:rsidR="00B37A33" w:rsidRPr="00B37A33">
        <w:rPr>
          <w:rFonts w:ascii="Times New Roman" w:hAnsi="Times New Roman"/>
          <w:b w:val="0"/>
          <w:sz w:val="22"/>
          <w:szCs w:val="22"/>
          <w:lang w:val="en-GB"/>
        </w:rPr>
        <w:t xml:space="preserve"> – Grant application form - Concept note</w:t>
      </w:r>
      <w:r w:rsidR="0031666A" w:rsidRPr="00EE4E75">
        <w:rPr>
          <w:rFonts w:ascii="Times New Roman" w:hAnsi="Times New Roman"/>
          <w:b w:val="0"/>
          <w:sz w:val="22"/>
          <w:szCs w:val="22"/>
          <w:lang w:val="en-GB"/>
        </w:rPr>
        <w:t xml:space="preserve">) </w:t>
      </w:r>
      <w:r w:rsidRPr="00EE4E75">
        <w:rPr>
          <w:rFonts w:ascii="Times New Roman" w:hAnsi="Times New Roman"/>
          <w:b w:val="0"/>
          <w:sz w:val="22"/>
          <w:szCs w:val="22"/>
          <w:lang w:val="en-GB"/>
        </w:rPr>
        <w:t xml:space="preserve">must be submitted for evaluation. Thereafter, </w:t>
      </w:r>
      <w:r w:rsidR="00ED0176" w:rsidRPr="00EE4E75">
        <w:rPr>
          <w:rFonts w:ascii="Times New Roman" w:hAnsi="Times New Roman"/>
          <w:b w:val="0"/>
          <w:sz w:val="22"/>
          <w:szCs w:val="22"/>
          <w:lang w:val="en-GB"/>
        </w:rPr>
        <w:t>lead a</w:t>
      </w:r>
      <w:r w:rsidRPr="00EE4E75">
        <w:rPr>
          <w:rFonts w:ascii="Times New Roman" w:hAnsi="Times New Roman"/>
          <w:b w:val="0"/>
          <w:sz w:val="22"/>
          <w:szCs w:val="22"/>
          <w:lang w:val="en-GB"/>
        </w:rPr>
        <w:t xml:space="preserve">pplicants who have been pre-selected will be invited to submit a </w:t>
      </w:r>
      <w:r w:rsidR="00D84C87" w:rsidRPr="00EE4E75">
        <w:rPr>
          <w:rFonts w:ascii="Times New Roman" w:hAnsi="Times New Roman"/>
          <w:b w:val="0"/>
          <w:sz w:val="22"/>
          <w:szCs w:val="22"/>
          <w:lang w:val="en-GB"/>
        </w:rPr>
        <w:t>f</w:t>
      </w:r>
      <w:r w:rsidRPr="00EE4E75">
        <w:rPr>
          <w:rFonts w:ascii="Times New Roman" w:hAnsi="Times New Roman"/>
          <w:b w:val="0"/>
          <w:sz w:val="22"/>
          <w:szCs w:val="22"/>
          <w:lang w:val="en-GB"/>
        </w:rPr>
        <w:t xml:space="preserve">ull </w:t>
      </w:r>
      <w:r w:rsidR="00D84C87" w:rsidRPr="00EE4E75">
        <w:rPr>
          <w:rFonts w:ascii="Times New Roman" w:hAnsi="Times New Roman"/>
          <w:b w:val="0"/>
          <w:sz w:val="22"/>
          <w:szCs w:val="22"/>
          <w:lang w:val="en-GB"/>
        </w:rPr>
        <w:t>a</w:t>
      </w:r>
      <w:r w:rsidRPr="00EE4E75">
        <w:rPr>
          <w:rFonts w:ascii="Times New Roman" w:hAnsi="Times New Roman"/>
          <w:b w:val="0"/>
          <w:sz w:val="22"/>
          <w:szCs w:val="22"/>
          <w:lang w:val="en-GB"/>
        </w:rPr>
        <w:t>pplication</w:t>
      </w:r>
      <w:r w:rsidR="00B37A33">
        <w:rPr>
          <w:rFonts w:ascii="Times New Roman" w:hAnsi="Times New Roman"/>
          <w:b w:val="0"/>
          <w:sz w:val="22"/>
          <w:szCs w:val="22"/>
          <w:lang w:val="en-GB"/>
        </w:rPr>
        <w:t xml:space="preserve"> (</w:t>
      </w:r>
      <w:r w:rsidR="00B37A33" w:rsidRPr="00B37A33">
        <w:rPr>
          <w:rFonts w:ascii="Times New Roman" w:hAnsi="Times New Roman"/>
          <w:b w:val="0"/>
          <w:sz w:val="22"/>
          <w:szCs w:val="22"/>
          <w:lang w:val="en-GB"/>
        </w:rPr>
        <w:t>Annex A.2 – Grant application form – Full application</w:t>
      </w:r>
      <w:r w:rsidR="00B37A33">
        <w:rPr>
          <w:rFonts w:ascii="Times New Roman" w:hAnsi="Times New Roman"/>
          <w:b w:val="0"/>
          <w:sz w:val="22"/>
          <w:szCs w:val="22"/>
          <w:lang w:val="en-GB"/>
        </w:rPr>
        <w:t>)</w:t>
      </w:r>
      <w:r w:rsidRPr="00EE4E75">
        <w:rPr>
          <w:rFonts w:ascii="Times New Roman" w:hAnsi="Times New Roman"/>
          <w:b w:val="0"/>
          <w:sz w:val="22"/>
          <w:szCs w:val="22"/>
          <w:lang w:val="en-GB"/>
        </w:rPr>
        <w:t xml:space="preserve">. </w:t>
      </w:r>
      <w:r w:rsidR="00D830C7" w:rsidRPr="00EE4E75">
        <w:rPr>
          <w:rFonts w:ascii="Times New Roman" w:hAnsi="Times New Roman"/>
          <w:b w:val="0"/>
          <w:sz w:val="22"/>
          <w:szCs w:val="22"/>
          <w:lang w:val="en-GB"/>
        </w:rPr>
        <w:t>After</w:t>
      </w:r>
      <w:r w:rsidRPr="00EE4E75">
        <w:rPr>
          <w:rFonts w:ascii="Times New Roman" w:hAnsi="Times New Roman"/>
          <w:b w:val="0"/>
          <w:sz w:val="22"/>
          <w:szCs w:val="22"/>
          <w:lang w:val="en-GB"/>
        </w:rPr>
        <w:t xml:space="preserve"> the evaluation of the </w:t>
      </w:r>
      <w:r w:rsidR="00D84C87" w:rsidRPr="00EE4E75">
        <w:rPr>
          <w:rFonts w:ascii="Times New Roman" w:hAnsi="Times New Roman"/>
          <w:b w:val="0"/>
          <w:sz w:val="22"/>
          <w:szCs w:val="22"/>
          <w:lang w:val="en-GB"/>
        </w:rPr>
        <w:t>f</w:t>
      </w:r>
      <w:r w:rsidRPr="00EE4E75">
        <w:rPr>
          <w:rFonts w:ascii="Times New Roman" w:hAnsi="Times New Roman"/>
          <w:b w:val="0"/>
          <w:sz w:val="22"/>
          <w:szCs w:val="22"/>
          <w:lang w:val="en-GB"/>
        </w:rPr>
        <w:t xml:space="preserve">ull </w:t>
      </w:r>
      <w:r w:rsidR="00D84C87" w:rsidRPr="00EE4E75">
        <w:rPr>
          <w:rFonts w:ascii="Times New Roman" w:hAnsi="Times New Roman"/>
          <w:b w:val="0"/>
          <w:sz w:val="22"/>
          <w:szCs w:val="22"/>
          <w:lang w:val="en-GB"/>
        </w:rPr>
        <w:t>a</w:t>
      </w:r>
      <w:r w:rsidRPr="00EE4E75">
        <w:rPr>
          <w:rFonts w:ascii="Times New Roman" w:hAnsi="Times New Roman"/>
          <w:b w:val="0"/>
          <w:sz w:val="22"/>
          <w:szCs w:val="22"/>
          <w:lang w:val="en-GB"/>
        </w:rPr>
        <w:t xml:space="preserve">pplications, an eligibility check will be performed for those which </w:t>
      </w:r>
      <w:r w:rsidR="00D830C7" w:rsidRPr="00EE4E75">
        <w:rPr>
          <w:rFonts w:ascii="Times New Roman" w:hAnsi="Times New Roman"/>
          <w:b w:val="0"/>
          <w:sz w:val="22"/>
          <w:szCs w:val="22"/>
          <w:lang w:val="en-GB"/>
        </w:rPr>
        <w:t xml:space="preserve">have been </w:t>
      </w:r>
      <w:r w:rsidRPr="00EE4E75">
        <w:rPr>
          <w:rFonts w:ascii="Times New Roman" w:hAnsi="Times New Roman"/>
          <w:b w:val="0"/>
          <w:sz w:val="22"/>
          <w:szCs w:val="22"/>
          <w:lang w:val="en-GB"/>
        </w:rPr>
        <w:t>provisionally selected</w:t>
      </w:r>
      <w:r w:rsidR="00524D59">
        <w:rPr>
          <w:rFonts w:ascii="Times New Roman" w:hAnsi="Times New Roman"/>
          <w:b w:val="0"/>
          <w:sz w:val="22"/>
          <w:szCs w:val="22"/>
          <w:lang w:val="en-GB"/>
        </w:rPr>
        <w:t xml:space="preserve"> </w:t>
      </w:r>
      <w:bookmarkStart w:id="2" w:name="_Hlk164323756"/>
      <w:r w:rsidR="00524D59">
        <w:rPr>
          <w:rFonts w:ascii="Times New Roman" w:hAnsi="Times New Roman"/>
          <w:b w:val="0"/>
          <w:sz w:val="22"/>
          <w:szCs w:val="22"/>
          <w:lang w:val="en-GB"/>
        </w:rPr>
        <w:t>(including those placed on the reserve list)</w:t>
      </w:r>
      <w:bookmarkEnd w:id="2"/>
      <w:r w:rsidRPr="00EE4E75">
        <w:rPr>
          <w:rFonts w:ascii="Times New Roman" w:hAnsi="Times New Roman"/>
          <w:b w:val="0"/>
          <w:sz w:val="22"/>
          <w:szCs w:val="22"/>
          <w:lang w:val="en-GB"/>
        </w:rPr>
        <w:t xml:space="preserve">. </w:t>
      </w:r>
      <w:r w:rsidR="001D2826" w:rsidRPr="00EE4E75">
        <w:rPr>
          <w:rFonts w:ascii="Times New Roman" w:hAnsi="Times New Roman"/>
          <w:b w:val="0"/>
          <w:sz w:val="22"/>
          <w:szCs w:val="22"/>
          <w:lang w:val="en-GB"/>
        </w:rPr>
        <w:t>Eligibility</w:t>
      </w:r>
      <w:r w:rsidRPr="00EE4E75">
        <w:rPr>
          <w:rFonts w:ascii="Times New Roman" w:hAnsi="Times New Roman"/>
          <w:b w:val="0"/>
          <w:sz w:val="22"/>
          <w:szCs w:val="22"/>
          <w:lang w:val="en-GB"/>
        </w:rPr>
        <w:t xml:space="preserve"> will be </w:t>
      </w:r>
      <w:r w:rsidR="001D2826" w:rsidRPr="00EE4E75">
        <w:rPr>
          <w:rFonts w:ascii="Times New Roman" w:hAnsi="Times New Roman"/>
          <w:b w:val="0"/>
          <w:sz w:val="22"/>
          <w:szCs w:val="22"/>
          <w:lang w:val="en-GB"/>
        </w:rPr>
        <w:t xml:space="preserve">checked </w:t>
      </w:r>
      <w:proofErr w:type="gramStart"/>
      <w:r w:rsidRPr="00EE4E75">
        <w:rPr>
          <w:rFonts w:ascii="Times New Roman" w:hAnsi="Times New Roman"/>
          <w:b w:val="0"/>
          <w:sz w:val="22"/>
          <w:szCs w:val="22"/>
          <w:lang w:val="en-GB"/>
        </w:rPr>
        <w:t>on the basis of</w:t>
      </w:r>
      <w:proofErr w:type="gramEnd"/>
      <w:r w:rsidRPr="00EE4E75">
        <w:rPr>
          <w:rFonts w:ascii="Times New Roman" w:hAnsi="Times New Roman"/>
          <w:b w:val="0"/>
          <w:sz w:val="22"/>
          <w:szCs w:val="22"/>
          <w:lang w:val="en-GB"/>
        </w:rPr>
        <w:t xml:space="preserve"> the supporting documents requested by the </w:t>
      </w:r>
      <w:r w:rsidR="00D84C87" w:rsidRPr="00EE4E75">
        <w:rPr>
          <w:rFonts w:ascii="Times New Roman" w:hAnsi="Times New Roman"/>
          <w:b w:val="0"/>
          <w:sz w:val="22"/>
          <w:szCs w:val="22"/>
          <w:lang w:val="en-GB"/>
        </w:rPr>
        <w:t>c</w:t>
      </w:r>
      <w:r w:rsidRPr="00EE4E75">
        <w:rPr>
          <w:rFonts w:ascii="Times New Roman" w:hAnsi="Times New Roman"/>
          <w:b w:val="0"/>
          <w:sz w:val="22"/>
          <w:szCs w:val="22"/>
          <w:lang w:val="en-GB"/>
        </w:rPr>
        <w:t xml:space="preserve">ontracting </w:t>
      </w:r>
      <w:r w:rsidR="00D84C87" w:rsidRPr="00EE4E75">
        <w:rPr>
          <w:rFonts w:ascii="Times New Roman" w:hAnsi="Times New Roman"/>
          <w:b w:val="0"/>
          <w:sz w:val="22"/>
          <w:szCs w:val="22"/>
          <w:lang w:val="en-GB"/>
        </w:rPr>
        <w:t>a</w:t>
      </w:r>
      <w:r w:rsidRPr="00EE4E75">
        <w:rPr>
          <w:rFonts w:ascii="Times New Roman" w:hAnsi="Times New Roman"/>
          <w:b w:val="0"/>
          <w:sz w:val="22"/>
          <w:szCs w:val="22"/>
          <w:lang w:val="en-GB"/>
        </w:rPr>
        <w:t>uthority</w:t>
      </w:r>
      <w:r w:rsidR="009D29CA" w:rsidRPr="00EE4E75">
        <w:rPr>
          <w:rFonts w:ascii="Times New Roman" w:hAnsi="Times New Roman"/>
          <w:b w:val="0"/>
          <w:sz w:val="22"/>
          <w:szCs w:val="22"/>
          <w:lang w:val="en-GB"/>
        </w:rPr>
        <w:t xml:space="preserve"> and</w:t>
      </w:r>
      <w:r w:rsidRPr="00EE4E75">
        <w:rPr>
          <w:rFonts w:ascii="Times New Roman" w:hAnsi="Times New Roman"/>
          <w:b w:val="0"/>
          <w:sz w:val="22"/>
          <w:szCs w:val="22"/>
          <w:lang w:val="en-GB"/>
        </w:rPr>
        <w:t xml:space="preserve"> the signed </w:t>
      </w:r>
      <w:r w:rsidR="00A016F9" w:rsidRPr="00EE4E75">
        <w:rPr>
          <w:rFonts w:ascii="Times New Roman" w:hAnsi="Times New Roman"/>
          <w:b w:val="0"/>
          <w:sz w:val="22"/>
          <w:szCs w:val="22"/>
          <w:lang w:val="en-GB"/>
        </w:rPr>
        <w:t>‘</w:t>
      </w:r>
      <w:r w:rsidR="00D84C87" w:rsidRPr="00EE4E75">
        <w:rPr>
          <w:rFonts w:ascii="Times New Roman" w:hAnsi="Times New Roman"/>
          <w:b w:val="0"/>
          <w:sz w:val="22"/>
          <w:szCs w:val="22"/>
          <w:lang w:val="en-GB"/>
        </w:rPr>
        <w:t>d</w:t>
      </w:r>
      <w:r w:rsidRPr="00EE4E75">
        <w:rPr>
          <w:rFonts w:ascii="Times New Roman" w:hAnsi="Times New Roman"/>
          <w:b w:val="0"/>
          <w:sz w:val="22"/>
          <w:szCs w:val="22"/>
          <w:lang w:val="en-GB"/>
        </w:rPr>
        <w:t xml:space="preserve">eclaration by the </w:t>
      </w:r>
      <w:r w:rsidR="00ED0176" w:rsidRPr="00EE4E75">
        <w:rPr>
          <w:rFonts w:ascii="Times New Roman" w:hAnsi="Times New Roman"/>
          <w:b w:val="0"/>
          <w:sz w:val="22"/>
          <w:szCs w:val="22"/>
          <w:lang w:val="en-GB"/>
        </w:rPr>
        <w:t>lead a</w:t>
      </w:r>
      <w:r w:rsidRPr="00EE4E75">
        <w:rPr>
          <w:rFonts w:ascii="Times New Roman" w:hAnsi="Times New Roman"/>
          <w:b w:val="0"/>
          <w:sz w:val="22"/>
          <w:szCs w:val="22"/>
          <w:lang w:val="en-GB"/>
        </w:rPr>
        <w:t>pplicant</w:t>
      </w:r>
      <w:r w:rsidR="00A016F9" w:rsidRPr="00EE4E75">
        <w:rPr>
          <w:rFonts w:ascii="Times New Roman" w:hAnsi="Times New Roman"/>
          <w:b w:val="0"/>
          <w:sz w:val="22"/>
          <w:szCs w:val="22"/>
          <w:lang w:val="en-GB"/>
        </w:rPr>
        <w:t>’</w:t>
      </w:r>
      <w:r w:rsidRPr="00EE4E75">
        <w:rPr>
          <w:rFonts w:ascii="Times New Roman" w:hAnsi="Times New Roman"/>
          <w:b w:val="0"/>
          <w:sz w:val="22"/>
          <w:szCs w:val="22"/>
          <w:lang w:val="en-GB"/>
        </w:rPr>
        <w:t xml:space="preserve"> sent together with the </w:t>
      </w:r>
      <w:r w:rsidR="000F59A0" w:rsidRPr="00EE4E75">
        <w:rPr>
          <w:rFonts w:ascii="Times New Roman" w:hAnsi="Times New Roman"/>
          <w:b w:val="0"/>
          <w:sz w:val="22"/>
          <w:szCs w:val="22"/>
          <w:lang w:val="en-GB"/>
        </w:rPr>
        <w:t xml:space="preserve">full </w:t>
      </w:r>
      <w:r w:rsidR="00EE4E75" w:rsidRPr="00EE4E75">
        <w:rPr>
          <w:rFonts w:ascii="Times New Roman" w:hAnsi="Times New Roman"/>
          <w:b w:val="0"/>
          <w:sz w:val="22"/>
          <w:szCs w:val="22"/>
          <w:lang w:val="en-GB"/>
        </w:rPr>
        <w:t>application</w:t>
      </w:r>
      <w:r w:rsidR="00EE4E75" w:rsidRPr="00BA6979">
        <w:rPr>
          <w:rFonts w:ascii="Times New Roman" w:hAnsi="Times New Roman"/>
          <w:b w:val="0"/>
          <w:sz w:val="22"/>
          <w:szCs w:val="22"/>
          <w:lang w:val="en-GB"/>
        </w:rPr>
        <w:t>.</w:t>
      </w:r>
    </w:p>
    <w:p w14:paraId="21151234" w14:textId="77777777" w:rsidR="00DE156A" w:rsidRPr="001B7D50" w:rsidRDefault="00DE156A" w:rsidP="008B2269">
      <w:pPr>
        <w:pStyle w:val="Normal-box"/>
        <w:pBdr>
          <w:bottom w:val="single" w:sz="4" w:space="30" w:color="auto"/>
        </w:pBdr>
        <w:jc w:val="center"/>
        <w:rPr>
          <w:b/>
          <w:bCs w:val="0"/>
          <w:snapToGrid w:val="0"/>
          <w:lang w:val="en-IE"/>
        </w:rPr>
      </w:pPr>
      <w:r w:rsidRPr="003A53D3">
        <w:rPr>
          <w:b/>
          <w:bCs w:val="0"/>
          <w:lang w:val="en-GB"/>
        </w:rPr>
        <w:t>Online submission via PROSPECT</w:t>
      </w:r>
    </w:p>
    <w:p w14:paraId="40681029" w14:textId="77777777" w:rsidR="00EE4E75" w:rsidRPr="00BE543A" w:rsidRDefault="00EE4E75" w:rsidP="008B2269">
      <w:pPr>
        <w:pStyle w:val="Default"/>
        <w:pBdr>
          <w:top w:val="single" w:sz="4" w:space="1" w:color="auto"/>
          <w:left w:val="single" w:sz="4" w:space="4" w:color="auto"/>
          <w:bottom w:val="single" w:sz="4" w:space="30" w:color="auto"/>
          <w:right w:val="single" w:sz="4" w:space="4" w:color="auto"/>
        </w:pBdr>
        <w:spacing w:before="120" w:after="120"/>
        <w:jc w:val="both"/>
        <w:rPr>
          <w:snapToGrid w:val="0"/>
          <w:color w:val="auto"/>
          <w:sz w:val="22"/>
          <w:szCs w:val="20"/>
          <w:lang w:eastAsia="en-US"/>
        </w:rPr>
      </w:pPr>
      <w:r>
        <w:rPr>
          <w:b/>
          <w:snapToGrid w:val="0"/>
          <w:color w:val="auto"/>
          <w:sz w:val="22"/>
          <w:szCs w:val="20"/>
          <w:lang w:eastAsia="en-US"/>
        </w:rPr>
        <w:t>To apply to t</w:t>
      </w:r>
      <w:r w:rsidRPr="00BE543A">
        <w:rPr>
          <w:b/>
          <w:snapToGrid w:val="0"/>
          <w:color w:val="auto"/>
          <w:sz w:val="22"/>
          <w:szCs w:val="20"/>
          <w:lang w:eastAsia="en-US"/>
        </w:rPr>
        <w:t xml:space="preserve">his </w:t>
      </w:r>
      <w:r>
        <w:rPr>
          <w:b/>
          <w:snapToGrid w:val="0"/>
          <w:color w:val="auto"/>
          <w:sz w:val="22"/>
          <w:szCs w:val="20"/>
          <w:lang w:eastAsia="en-US"/>
        </w:rPr>
        <w:t>c</w:t>
      </w:r>
      <w:r w:rsidRPr="00BE543A">
        <w:rPr>
          <w:b/>
          <w:snapToGrid w:val="0"/>
          <w:color w:val="auto"/>
          <w:sz w:val="22"/>
          <w:szCs w:val="20"/>
          <w:lang w:eastAsia="en-US"/>
        </w:rPr>
        <w:t>all</w:t>
      </w:r>
      <w:r>
        <w:rPr>
          <w:b/>
          <w:snapToGrid w:val="0"/>
          <w:color w:val="auto"/>
          <w:sz w:val="22"/>
          <w:szCs w:val="20"/>
          <w:lang w:eastAsia="en-US"/>
        </w:rPr>
        <w:t xml:space="preserve"> for proposals organisations must register in </w:t>
      </w:r>
      <w:proofErr w:type="spellStart"/>
      <w:r>
        <w:rPr>
          <w:b/>
          <w:snapToGrid w:val="0"/>
          <w:color w:val="auto"/>
          <w:sz w:val="22"/>
          <w:szCs w:val="20"/>
          <w:lang w:eastAsia="en-US"/>
        </w:rPr>
        <w:t>PADOR</w:t>
      </w:r>
      <w:proofErr w:type="spellEnd"/>
      <w:r>
        <w:rPr>
          <w:b/>
          <w:snapToGrid w:val="0"/>
          <w:color w:val="auto"/>
          <w:sz w:val="22"/>
          <w:szCs w:val="20"/>
          <w:lang w:eastAsia="en-US"/>
        </w:rPr>
        <w:t xml:space="preserve"> and submit their application in PROSPECT</w:t>
      </w:r>
      <w:r w:rsidRPr="00BE543A">
        <w:rPr>
          <w:b/>
          <w:snapToGrid w:val="0"/>
          <w:color w:val="auto"/>
          <w:sz w:val="22"/>
          <w:szCs w:val="20"/>
          <w:lang w:eastAsia="en-US"/>
        </w:rPr>
        <w:t xml:space="preserve"> </w:t>
      </w:r>
      <w:r>
        <w:rPr>
          <w:b/>
          <w:snapToGrid w:val="0"/>
          <w:color w:val="auto"/>
          <w:sz w:val="22"/>
          <w:szCs w:val="20"/>
          <w:lang w:eastAsia="en-US"/>
        </w:rPr>
        <w:t xml:space="preserve">(see section 2.2.2 of the guidelines). </w:t>
      </w:r>
      <w:r w:rsidRPr="00BE543A">
        <w:rPr>
          <w:snapToGrid w:val="0"/>
          <w:color w:val="auto"/>
          <w:sz w:val="22"/>
          <w:szCs w:val="20"/>
          <w:lang w:eastAsia="en-US"/>
        </w:rPr>
        <w:t xml:space="preserve">The aim of PROSPECT is to increase the efficiency of the management of the </w:t>
      </w:r>
      <w:r>
        <w:rPr>
          <w:snapToGrid w:val="0"/>
          <w:color w:val="auto"/>
          <w:sz w:val="22"/>
          <w:szCs w:val="20"/>
          <w:lang w:eastAsia="en-US"/>
        </w:rPr>
        <w:t>c</w:t>
      </w:r>
      <w:r w:rsidRPr="00BE543A">
        <w:rPr>
          <w:snapToGrid w:val="0"/>
          <w:color w:val="auto"/>
          <w:sz w:val="22"/>
          <w:szCs w:val="20"/>
          <w:lang w:eastAsia="en-US"/>
        </w:rPr>
        <w:t xml:space="preserve">all for </w:t>
      </w:r>
      <w:r>
        <w:rPr>
          <w:snapToGrid w:val="0"/>
          <w:color w:val="auto"/>
          <w:sz w:val="22"/>
          <w:szCs w:val="20"/>
          <w:lang w:eastAsia="en-US"/>
        </w:rPr>
        <w:t>p</w:t>
      </w:r>
      <w:r w:rsidRPr="00BE543A">
        <w:rPr>
          <w:snapToGrid w:val="0"/>
          <w:color w:val="auto"/>
          <w:sz w:val="22"/>
          <w:szCs w:val="20"/>
          <w:lang w:eastAsia="en-US"/>
        </w:rPr>
        <w:t>roposals and to offer a better service to civil society organisations through a new panel of functionalit</w:t>
      </w:r>
      <w:r>
        <w:rPr>
          <w:snapToGrid w:val="0"/>
          <w:color w:val="auto"/>
          <w:sz w:val="22"/>
          <w:szCs w:val="20"/>
          <w:lang w:eastAsia="en-US"/>
        </w:rPr>
        <w:t>ies such as the on-line submission and</w:t>
      </w:r>
      <w:r w:rsidRPr="00BE543A">
        <w:rPr>
          <w:snapToGrid w:val="0"/>
          <w:color w:val="auto"/>
          <w:sz w:val="22"/>
          <w:szCs w:val="20"/>
          <w:lang w:eastAsia="en-US"/>
        </w:rPr>
        <w:t xml:space="preserve"> the possibility to follow up online </w:t>
      </w:r>
      <w:r>
        <w:rPr>
          <w:snapToGrid w:val="0"/>
          <w:color w:val="auto"/>
          <w:sz w:val="22"/>
          <w:szCs w:val="20"/>
          <w:lang w:eastAsia="en-US"/>
        </w:rPr>
        <w:t>the status of their application.</w:t>
      </w:r>
    </w:p>
    <w:p w14:paraId="7340C25E" w14:textId="1B343514" w:rsidR="00EE4E75" w:rsidRPr="00B4103F" w:rsidRDefault="00EE4E75" w:rsidP="008B2269">
      <w:pPr>
        <w:pStyle w:val="Default"/>
        <w:pBdr>
          <w:top w:val="single" w:sz="4" w:space="1" w:color="auto"/>
          <w:left w:val="single" w:sz="4" w:space="4" w:color="auto"/>
          <w:bottom w:val="single" w:sz="4" w:space="30" w:color="auto"/>
          <w:right w:val="single" w:sz="4" w:space="4" w:color="auto"/>
        </w:pBdr>
        <w:spacing w:before="120" w:after="120"/>
        <w:jc w:val="both"/>
        <w:rPr>
          <w:snapToGrid w:val="0"/>
          <w:color w:val="auto"/>
          <w:sz w:val="22"/>
          <w:szCs w:val="20"/>
          <w:lang w:eastAsia="en-US"/>
        </w:rPr>
      </w:pPr>
      <w:r w:rsidRPr="00B4103F">
        <w:rPr>
          <w:b/>
          <w:snapToGrid w:val="0"/>
          <w:color w:val="auto"/>
          <w:sz w:val="22"/>
          <w:szCs w:val="20"/>
          <w:lang w:eastAsia="en-US"/>
        </w:rPr>
        <w:t>Preparation</w:t>
      </w:r>
      <w:r w:rsidRPr="00063B9A">
        <w:rPr>
          <w:b/>
          <w:bCs/>
          <w:snapToGrid w:val="0"/>
          <w:color w:val="auto"/>
          <w:sz w:val="22"/>
          <w:szCs w:val="20"/>
          <w:lang w:eastAsia="en-US"/>
        </w:rPr>
        <w:t>:</w:t>
      </w:r>
      <w:r w:rsidRPr="00B4103F">
        <w:rPr>
          <w:snapToGrid w:val="0"/>
          <w:color w:val="auto"/>
          <w:sz w:val="22"/>
          <w:szCs w:val="20"/>
          <w:lang w:eastAsia="en-US"/>
        </w:rPr>
        <w:t xml:space="preserve"> Information session </w:t>
      </w:r>
      <w:r w:rsidR="00250D7E" w:rsidRPr="00731E00">
        <w:rPr>
          <w:b/>
          <w:bCs/>
          <w:snapToGrid w:val="0"/>
          <w:color w:val="auto"/>
          <w:sz w:val="22"/>
          <w:szCs w:val="20"/>
          <w:lang w:val="uk-UA" w:eastAsia="en-US"/>
        </w:rPr>
        <w:t>9</w:t>
      </w:r>
      <w:r w:rsidR="001A2CE2" w:rsidRPr="00731E00">
        <w:rPr>
          <w:b/>
          <w:bCs/>
          <w:snapToGrid w:val="0"/>
          <w:color w:val="auto"/>
          <w:sz w:val="22"/>
          <w:szCs w:val="20"/>
          <w:lang w:eastAsia="en-US"/>
        </w:rPr>
        <w:t xml:space="preserve"> December 2025,</w:t>
      </w:r>
      <w:r w:rsidR="00096733" w:rsidRPr="00731E00">
        <w:rPr>
          <w:b/>
          <w:bCs/>
          <w:snapToGrid w:val="0"/>
          <w:color w:val="auto"/>
          <w:sz w:val="22"/>
          <w:szCs w:val="20"/>
          <w:lang w:eastAsia="en-US"/>
        </w:rPr>
        <w:t xml:space="preserve"> 10:30 Kyiv time,</w:t>
      </w:r>
      <w:r w:rsidR="001A2CE2" w:rsidRPr="00731E00">
        <w:rPr>
          <w:b/>
          <w:bCs/>
          <w:snapToGrid w:val="0"/>
          <w:color w:val="auto"/>
          <w:sz w:val="22"/>
          <w:szCs w:val="20"/>
          <w:lang w:eastAsia="en-US"/>
        </w:rPr>
        <w:t xml:space="preserve"> online</w:t>
      </w:r>
      <w:r w:rsidRPr="00B4103F">
        <w:rPr>
          <w:snapToGrid w:val="0"/>
          <w:color w:val="auto"/>
          <w:sz w:val="22"/>
          <w:szCs w:val="20"/>
          <w:lang w:eastAsia="en-US"/>
        </w:rPr>
        <w:t xml:space="preserve"> and user manuals </w:t>
      </w:r>
    </w:p>
    <w:p w14:paraId="2A51531B" w14:textId="7258910B" w:rsidR="008B2269" w:rsidRPr="00B4103F" w:rsidRDefault="00EE4E75" w:rsidP="008B2269">
      <w:pPr>
        <w:pStyle w:val="Default"/>
        <w:pBdr>
          <w:top w:val="single" w:sz="4" w:space="1" w:color="auto"/>
          <w:left w:val="single" w:sz="4" w:space="4" w:color="auto"/>
          <w:bottom w:val="single" w:sz="4" w:space="30" w:color="auto"/>
          <w:right w:val="single" w:sz="4" w:space="4" w:color="auto"/>
        </w:pBdr>
        <w:spacing w:before="120" w:after="120"/>
        <w:jc w:val="both"/>
        <w:rPr>
          <w:snapToGrid w:val="0"/>
          <w:color w:val="auto"/>
          <w:sz w:val="22"/>
          <w:szCs w:val="20"/>
          <w:lang w:eastAsia="en-US"/>
        </w:rPr>
      </w:pPr>
      <w:r w:rsidRPr="00B4103F">
        <w:rPr>
          <w:snapToGrid w:val="0"/>
          <w:color w:val="auto"/>
          <w:sz w:val="22"/>
          <w:szCs w:val="20"/>
          <w:lang w:eastAsia="en-US"/>
        </w:rPr>
        <w:t xml:space="preserve">To help applicants familiarise themselves with the system before the online submission, an information session </w:t>
      </w:r>
      <w:r>
        <w:rPr>
          <w:snapToGrid w:val="0"/>
          <w:color w:val="auto"/>
          <w:sz w:val="22"/>
          <w:szCs w:val="20"/>
          <w:lang w:eastAsia="en-US"/>
        </w:rPr>
        <w:t xml:space="preserve">will be organised </w:t>
      </w:r>
      <w:r w:rsidRPr="00B4103F">
        <w:rPr>
          <w:snapToGrid w:val="0"/>
          <w:color w:val="auto"/>
          <w:sz w:val="22"/>
          <w:szCs w:val="20"/>
          <w:lang w:eastAsia="en-US"/>
        </w:rPr>
        <w:t xml:space="preserve">on </w:t>
      </w:r>
      <w:r w:rsidR="00250D7E" w:rsidRPr="00731E00">
        <w:rPr>
          <w:b/>
          <w:bCs/>
          <w:snapToGrid w:val="0"/>
          <w:color w:val="auto"/>
          <w:sz w:val="22"/>
          <w:szCs w:val="20"/>
          <w:lang w:val="uk-UA" w:eastAsia="en-US"/>
        </w:rPr>
        <w:t>9</w:t>
      </w:r>
      <w:r w:rsidR="001A2CE2" w:rsidRPr="00731E00">
        <w:rPr>
          <w:b/>
          <w:bCs/>
          <w:snapToGrid w:val="0"/>
          <w:color w:val="auto"/>
          <w:sz w:val="22"/>
          <w:szCs w:val="20"/>
          <w:lang w:eastAsia="en-US"/>
        </w:rPr>
        <w:t xml:space="preserve"> December 2025</w:t>
      </w:r>
      <w:r w:rsidR="00096733" w:rsidRPr="00731E00">
        <w:rPr>
          <w:b/>
          <w:bCs/>
          <w:snapToGrid w:val="0"/>
          <w:color w:val="auto"/>
          <w:sz w:val="22"/>
          <w:szCs w:val="20"/>
          <w:lang w:eastAsia="en-US"/>
        </w:rPr>
        <w:t xml:space="preserve"> 10:30 Kyiv time</w:t>
      </w:r>
      <w:r w:rsidR="001A2CE2" w:rsidRPr="00731E00">
        <w:rPr>
          <w:b/>
          <w:bCs/>
          <w:snapToGrid w:val="0"/>
          <w:color w:val="auto"/>
          <w:sz w:val="22"/>
          <w:szCs w:val="20"/>
          <w:lang w:eastAsia="en-US"/>
        </w:rPr>
        <w:t>, online</w:t>
      </w:r>
      <w:r w:rsidRPr="00B4103F">
        <w:rPr>
          <w:snapToGrid w:val="0"/>
          <w:color w:val="auto"/>
          <w:sz w:val="22"/>
          <w:szCs w:val="20"/>
          <w:lang w:eastAsia="en-US"/>
        </w:rPr>
        <w:t>.</w:t>
      </w:r>
      <w:r w:rsidR="008B2269">
        <w:rPr>
          <w:snapToGrid w:val="0"/>
          <w:color w:val="auto"/>
          <w:sz w:val="22"/>
          <w:szCs w:val="20"/>
          <w:lang w:eastAsia="en-US"/>
        </w:rPr>
        <w:t xml:space="preserve">                                                                           </w:t>
      </w:r>
      <w:r w:rsidR="008B2269" w:rsidRPr="00731E00">
        <w:rPr>
          <w:b/>
          <w:bCs/>
          <w:lang w:val="en-US"/>
        </w:rPr>
        <w:t>The registration form</w:t>
      </w:r>
      <w:r w:rsidR="008B2269" w:rsidRPr="00731E00">
        <w:rPr>
          <w:lang w:val="en-US"/>
        </w:rPr>
        <w:t xml:space="preserve"> is</w:t>
      </w:r>
      <w:r w:rsidR="008B2269">
        <w:rPr>
          <w:lang w:val="en-US"/>
        </w:rPr>
        <w:t xml:space="preserve"> </w:t>
      </w:r>
      <w:r w:rsidR="008B2269" w:rsidRPr="00731E00">
        <w:rPr>
          <w:lang w:val="en-US"/>
        </w:rPr>
        <w:t>accessible at</w:t>
      </w:r>
      <w:r w:rsidR="008B2269">
        <w:rPr>
          <w:lang w:val="en-US"/>
        </w:rPr>
        <w:t xml:space="preserve"> </w:t>
      </w:r>
      <w:hyperlink r:id="rId10" w:history="1">
        <w:r w:rsidR="008B2269" w:rsidRPr="00731E00">
          <w:rPr>
            <w:rStyle w:val="Hyperlink"/>
            <w:lang w:val="en-US"/>
          </w:rPr>
          <w:t>https://us06web.zoom.us/webinar/register/WN_7H1zEe-7QI-Gfek71NW8NQ</w:t>
        </w:r>
      </w:hyperlink>
    </w:p>
    <w:p w14:paraId="03396A9A" w14:textId="4545ED8D" w:rsidR="00EE4E75" w:rsidRPr="00BE543A" w:rsidRDefault="00EE4E75" w:rsidP="008B2269">
      <w:pPr>
        <w:pStyle w:val="Default"/>
        <w:pBdr>
          <w:top w:val="single" w:sz="4" w:space="1" w:color="auto"/>
          <w:left w:val="single" w:sz="4" w:space="4" w:color="auto"/>
          <w:bottom w:val="single" w:sz="4" w:space="30" w:color="auto"/>
          <w:right w:val="single" w:sz="4" w:space="4" w:color="auto"/>
        </w:pBdr>
        <w:spacing w:before="120" w:after="120"/>
        <w:jc w:val="both"/>
        <w:rPr>
          <w:snapToGrid w:val="0"/>
          <w:color w:val="auto"/>
          <w:sz w:val="22"/>
          <w:szCs w:val="20"/>
          <w:lang w:eastAsia="en-US"/>
        </w:rPr>
      </w:pPr>
      <w:r w:rsidRPr="00B4103F">
        <w:rPr>
          <w:snapToGrid w:val="0"/>
          <w:color w:val="auto"/>
          <w:sz w:val="22"/>
          <w:szCs w:val="20"/>
          <w:lang w:eastAsia="en-US"/>
        </w:rPr>
        <w:t xml:space="preserve">Should you be interested in this session, please send an email by </w:t>
      </w:r>
      <w:r w:rsidR="00250D7E" w:rsidRPr="00731E00">
        <w:rPr>
          <w:b/>
          <w:bCs/>
          <w:snapToGrid w:val="0"/>
          <w:color w:val="auto"/>
          <w:sz w:val="22"/>
          <w:szCs w:val="20"/>
          <w:lang w:val="uk-UA" w:eastAsia="en-US"/>
        </w:rPr>
        <w:t>2</w:t>
      </w:r>
      <w:r w:rsidR="001A2CE2" w:rsidRPr="00731E00">
        <w:rPr>
          <w:b/>
          <w:bCs/>
          <w:snapToGrid w:val="0"/>
          <w:color w:val="auto"/>
          <w:sz w:val="22"/>
          <w:szCs w:val="20"/>
          <w:lang w:eastAsia="en-US"/>
        </w:rPr>
        <w:t xml:space="preserve"> December 2025</w:t>
      </w:r>
      <w:r w:rsidR="00096733" w:rsidRPr="00731E00">
        <w:rPr>
          <w:b/>
          <w:bCs/>
          <w:snapToGrid w:val="0"/>
          <w:color w:val="auto"/>
          <w:sz w:val="22"/>
          <w:szCs w:val="20"/>
          <w:lang w:eastAsia="en-US"/>
        </w:rPr>
        <w:t xml:space="preserve"> COB</w:t>
      </w:r>
      <w:r w:rsidRPr="00731E00">
        <w:rPr>
          <w:snapToGrid w:val="0"/>
          <w:color w:val="auto"/>
          <w:sz w:val="22"/>
          <w:szCs w:val="20"/>
          <w:lang w:eastAsia="en-US"/>
        </w:rPr>
        <w:t xml:space="preserve"> </w:t>
      </w:r>
      <w:r w:rsidRPr="00B4103F">
        <w:rPr>
          <w:snapToGrid w:val="0"/>
          <w:color w:val="auto"/>
          <w:sz w:val="22"/>
          <w:szCs w:val="20"/>
          <w:lang w:eastAsia="en-US"/>
        </w:rPr>
        <w:t xml:space="preserve">to </w:t>
      </w:r>
      <w:r w:rsidRPr="00E9512B">
        <w:rPr>
          <w:b/>
          <w:noProof/>
          <w:szCs w:val="22"/>
        </w:rPr>
        <w:t>DELEGATION-UKRAINE-CIVILSOCIETY@eeas.europa.eu</w:t>
      </w:r>
      <w:r w:rsidRPr="00E9512B">
        <w:rPr>
          <w:snapToGrid w:val="0"/>
          <w:color w:val="auto"/>
          <w:sz w:val="22"/>
          <w:szCs w:val="20"/>
          <w:lang w:eastAsia="en-US"/>
        </w:rPr>
        <w:t xml:space="preserve">, </w:t>
      </w:r>
      <w:proofErr w:type="gramStart"/>
      <w:r w:rsidRPr="00B4103F">
        <w:rPr>
          <w:snapToGrid w:val="0"/>
          <w:color w:val="auto"/>
          <w:sz w:val="22"/>
          <w:szCs w:val="20"/>
          <w:lang w:eastAsia="en-US"/>
        </w:rPr>
        <w:t>indicating:</w:t>
      </w:r>
      <w:proofErr w:type="gramEnd"/>
      <w:r w:rsidRPr="00B4103F">
        <w:rPr>
          <w:snapToGrid w:val="0"/>
          <w:color w:val="auto"/>
          <w:sz w:val="22"/>
          <w:szCs w:val="20"/>
          <w:lang w:eastAsia="en-US"/>
        </w:rPr>
        <w:t xml:space="preserve"> name, surname, nationality and email address of the persons who are going to participate as well as their organisation (max. two participants per organisation). No costs incurred by the applicants for attending this information s</w:t>
      </w:r>
      <w:r w:rsidR="001A2CE2">
        <w:rPr>
          <w:snapToGrid w:val="0"/>
          <w:color w:val="auto"/>
          <w:sz w:val="22"/>
          <w:szCs w:val="20"/>
          <w:lang w:eastAsia="en-US"/>
        </w:rPr>
        <w:t>ession are reimbursable.</w:t>
      </w:r>
      <w:r w:rsidRPr="00BE543A">
        <w:rPr>
          <w:snapToGrid w:val="0"/>
          <w:color w:val="auto"/>
          <w:sz w:val="22"/>
          <w:szCs w:val="20"/>
          <w:lang w:eastAsia="en-US"/>
        </w:rPr>
        <w:t xml:space="preserve"> </w:t>
      </w:r>
    </w:p>
    <w:p w14:paraId="4CBB53B0" w14:textId="77777777" w:rsidR="00EE4E75" w:rsidRDefault="00381EDB" w:rsidP="008B2269">
      <w:pPr>
        <w:pStyle w:val="Subtitle"/>
        <w:pBdr>
          <w:top w:val="single" w:sz="4" w:space="1" w:color="auto"/>
          <w:left w:val="single" w:sz="4" w:space="4" w:color="auto"/>
          <w:bottom w:val="single" w:sz="4" w:space="30" w:color="auto"/>
          <w:right w:val="single" w:sz="4" w:space="4" w:color="auto"/>
        </w:pBdr>
        <w:spacing w:after="240"/>
        <w:jc w:val="both"/>
        <w:rPr>
          <w:rFonts w:ascii="Times New Roman" w:hAnsi="Times New Roman"/>
          <w:b w:val="0"/>
          <w:sz w:val="22"/>
          <w:lang w:val="en-GB"/>
        </w:rPr>
      </w:pPr>
      <w:r>
        <w:rPr>
          <w:rFonts w:ascii="Times New Roman" w:hAnsi="Times New Roman"/>
          <w:b w:val="0"/>
          <w:sz w:val="22"/>
          <w:lang w:val="en-GB"/>
        </w:rPr>
        <w:t xml:space="preserve">All organisations may find more information regarding PROSPECT in the </w:t>
      </w:r>
      <w:hyperlink r:id="rId11" w:history="1">
        <w:r w:rsidR="00F874BB">
          <w:rPr>
            <w:rStyle w:val="Hyperlink"/>
            <w:rFonts w:ascii="Times New Roman" w:hAnsi="Times New Roman"/>
            <w:b w:val="0"/>
            <w:sz w:val="22"/>
            <w:lang w:val="en-GB"/>
          </w:rPr>
          <w:t>user's manual</w:t>
        </w:r>
      </w:hyperlink>
      <w:r w:rsidR="00F874BB" w:rsidRPr="0094490A">
        <w:rPr>
          <w:rFonts w:ascii="Times New Roman" w:hAnsi="Times New Roman"/>
          <w:b w:val="0"/>
          <w:sz w:val="22"/>
          <w:lang w:val="en-GB"/>
        </w:rPr>
        <w:t xml:space="preserve"> </w:t>
      </w:r>
      <w:r>
        <w:rPr>
          <w:rFonts w:ascii="Times New Roman" w:hAnsi="Times New Roman"/>
          <w:b w:val="0"/>
          <w:sz w:val="22"/>
          <w:lang w:val="en-GB"/>
        </w:rPr>
        <w:t>and the</w:t>
      </w:r>
      <w:r w:rsidR="00745797">
        <w:rPr>
          <w:rFonts w:ascii="Times New Roman" w:hAnsi="Times New Roman"/>
          <w:b w:val="0"/>
          <w:sz w:val="22"/>
          <w:lang w:val="en-GB"/>
        </w:rPr>
        <w:t xml:space="preserve"> </w:t>
      </w:r>
      <w:hyperlink r:id="rId12" w:history="1">
        <w:r w:rsidR="00F874BB">
          <w:rPr>
            <w:rStyle w:val="Hyperlink"/>
            <w:rFonts w:ascii="Times New Roman" w:hAnsi="Times New Roman"/>
            <w:b w:val="0"/>
            <w:sz w:val="22"/>
            <w:lang w:val="en-GB"/>
          </w:rPr>
          <w:t>e-learning videos</w:t>
        </w:r>
      </w:hyperlink>
      <w:r>
        <w:rPr>
          <w:rFonts w:ascii="Times New Roman" w:hAnsi="Times New Roman"/>
          <w:b w:val="0"/>
          <w:sz w:val="22"/>
          <w:lang w:val="en-GB"/>
        </w:rPr>
        <w:t>. You may also</w:t>
      </w:r>
      <w:r w:rsidRPr="00BE543A">
        <w:rPr>
          <w:rFonts w:ascii="Times New Roman" w:hAnsi="Times New Roman"/>
          <w:b w:val="0"/>
          <w:sz w:val="22"/>
          <w:lang w:val="en-GB"/>
        </w:rPr>
        <w:t xml:space="preserve"> contact our technical support team</w:t>
      </w:r>
      <w:r>
        <w:rPr>
          <w:rFonts w:ascii="Times New Roman" w:hAnsi="Times New Roman"/>
          <w:b w:val="0"/>
          <w:sz w:val="22"/>
          <w:lang w:val="en-GB"/>
        </w:rPr>
        <w:t xml:space="preserve"> via the online support form in PROSPECT</w:t>
      </w:r>
      <w:r w:rsidR="00EE4E75">
        <w:rPr>
          <w:rStyle w:val="FootnoteReference"/>
          <w:rFonts w:ascii="Times New Roman" w:hAnsi="Times New Roman"/>
          <w:b w:val="0"/>
          <w:lang w:val="en-GB"/>
        </w:rPr>
        <w:footnoteReference w:id="4"/>
      </w:r>
      <w:r w:rsidR="00EE4E75">
        <w:rPr>
          <w:rFonts w:ascii="Times New Roman" w:hAnsi="Times New Roman"/>
          <w:b w:val="0"/>
          <w:sz w:val="22"/>
          <w:lang w:val="en-GB"/>
        </w:rPr>
        <w:t>.</w:t>
      </w:r>
    </w:p>
    <w:p w14:paraId="4158B0B2" w14:textId="77777777" w:rsidR="0007408E" w:rsidRPr="00807DAF" w:rsidRDefault="0007408E" w:rsidP="00EF1DCD">
      <w:pPr>
        <w:pageBreakBefore/>
        <w:spacing w:after="600"/>
        <w:jc w:val="center"/>
        <w:rPr>
          <w:sz w:val="32"/>
        </w:rPr>
      </w:pPr>
      <w:r w:rsidRPr="00807DAF">
        <w:rPr>
          <w:sz w:val="32"/>
        </w:rPr>
        <w:lastRenderedPageBreak/>
        <w:t>Table of contents</w:t>
      </w:r>
    </w:p>
    <w:p w14:paraId="027F6ECA" w14:textId="06456198" w:rsidR="00C1168E" w:rsidRPr="00DA409F" w:rsidRDefault="001417D6">
      <w:pPr>
        <w:pStyle w:val="TOC1"/>
        <w:rPr>
          <w:rFonts w:ascii="Calibri" w:hAnsi="Calibri"/>
          <w:b w:val="0"/>
          <w:caps w:val="0"/>
          <w:noProof/>
          <w:kern w:val="2"/>
          <w:szCs w:val="22"/>
          <w:lang w:eastAsia="en-GB"/>
        </w:rPr>
      </w:pPr>
      <w:r>
        <w:rPr>
          <w:b w:val="0"/>
          <w:caps w:val="0"/>
        </w:rPr>
        <w:fldChar w:fldCharType="begin"/>
      </w:r>
      <w:r>
        <w:rPr>
          <w:b w:val="0"/>
          <w:caps w:val="0"/>
        </w:rPr>
        <w:instrText xml:space="preserve"> TOC \h \z \t "Guidelines 1;1;Guidelines 2;2;Guidelines 3;3" </w:instrText>
      </w:r>
      <w:r>
        <w:rPr>
          <w:b w:val="0"/>
          <w:caps w:val="0"/>
        </w:rPr>
        <w:fldChar w:fldCharType="separate"/>
      </w:r>
      <w:hyperlink w:anchor="_Toc185257666" w:history="1">
        <w:r w:rsidR="00C1168E" w:rsidRPr="00B24548">
          <w:rPr>
            <w:rStyle w:val="Hyperlink"/>
            <w:noProof/>
          </w:rPr>
          <w:t>1.</w:t>
        </w:r>
        <w:r w:rsidR="00C1168E" w:rsidRPr="00DA409F">
          <w:rPr>
            <w:rFonts w:ascii="Calibri" w:hAnsi="Calibri"/>
            <w:b w:val="0"/>
            <w:caps w:val="0"/>
            <w:noProof/>
            <w:kern w:val="2"/>
            <w:szCs w:val="22"/>
            <w:lang w:eastAsia="en-GB"/>
          </w:rPr>
          <w:tab/>
        </w:r>
        <w:r w:rsidR="00C1168E" w:rsidRPr="00B24548">
          <w:rPr>
            <w:rStyle w:val="Hyperlink"/>
            <w:noProof/>
          </w:rPr>
          <w:t>EU4CSOs In Ukraine - Call for Proposals 2025</w:t>
        </w:r>
        <w:r w:rsidR="00C1168E">
          <w:rPr>
            <w:noProof/>
            <w:webHidden/>
          </w:rPr>
          <w:tab/>
        </w:r>
        <w:r w:rsidR="00C1168E">
          <w:rPr>
            <w:noProof/>
            <w:webHidden/>
          </w:rPr>
          <w:fldChar w:fldCharType="begin"/>
        </w:r>
        <w:r w:rsidR="00C1168E">
          <w:rPr>
            <w:noProof/>
            <w:webHidden/>
          </w:rPr>
          <w:instrText xml:space="preserve"> PAGEREF _Toc185257666 \h </w:instrText>
        </w:r>
        <w:r w:rsidR="00C1168E">
          <w:rPr>
            <w:noProof/>
            <w:webHidden/>
          </w:rPr>
        </w:r>
        <w:r w:rsidR="00C1168E">
          <w:rPr>
            <w:noProof/>
            <w:webHidden/>
          </w:rPr>
          <w:fldChar w:fldCharType="separate"/>
        </w:r>
        <w:r w:rsidR="00C1168E">
          <w:rPr>
            <w:noProof/>
            <w:webHidden/>
          </w:rPr>
          <w:fldChar w:fldCharType="end"/>
        </w:r>
      </w:hyperlink>
    </w:p>
    <w:p w14:paraId="6DC9F1DA" w14:textId="77777777" w:rsidR="00C1168E" w:rsidRPr="00DA409F" w:rsidRDefault="00C1168E">
      <w:pPr>
        <w:pStyle w:val="TOC2"/>
        <w:rPr>
          <w:rFonts w:ascii="Calibri" w:hAnsi="Calibri"/>
          <w:noProof/>
          <w:kern w:val="2"/>
          <w:szCs w:val="22"/>
          <w:lang w:eastAsia="en-GB"/>
        </w:rPr>
      </w:pPr>
      <w:hyperlink w:anchor="_Toc185257667" w:history="1">
        <w:r w:rsidRPr="00B24548">
          <w:rPr>
            <w:rStyle w:val="Hyperlink"/>
            <w:noProof/>
          </w:rPr>
          <w:t>1.1.</w:t>
        </w:r>
        <w:r w:rsidRPr="00DA409F">
          <w:rPr>
            <w:rFonts w:ascii="Calibri" w:hAnsi="Calibri"/>
            <w:noProof/>
            <w:kern w:val="2"/>
            <w:szCs w:val="22"/>
            <w:lang w:eastAsia="en-GB"/>
          </w:rPr>
          <w:tab/>
        </w:r>
        <w:r w:rsidRPr="00B24548">
          <w:rPr>
            <w:rStyle w:val="Hyperlink"/>
            <w:noProof/>
          </w:rPr>
          <w:t>Background</w:t>
        </w:r>
        <w:r>
          <w:rPr>
            <w:noProof/>
            <w:webHidden/>
          </w:rPr>
          <w:tab/>
        </w:r>
        <w:r>
          <w:rPr>
            <w:noProof/>
            <w:webHidden/>
          </w:rPr>
          <w:fldChar w:fldCharType="begin"/>
        </w:r>
        <w:r>
          <w:rPr>
            <w:noProof/>
            <w:webHidden/>
          </w:rPr>
          <w:instrText xml:space="preserve"> PAGEREF _Toc185257667 \h </w:instrText>
        </w:r>
        <w:r>
          <w:rPr>
            <w:noProof/>
            <w:webHidden/>
          </w:rPr>
        </w:r>
        <w:r>
          <w:rPr>
            <w:noProof/>
            <w:webHidden/>
          </w:rPr>
          <w:fldChar w:fldCharType="separate"/>
        </w:r>
        <w:r w:rsidR="006E0D8B">
          <w:rPr>
            <w:noProof/>
            <w:webHidden/>
          </w:rPr>
          <w:t>4</w:t>
        </w:r>
        <w:r>
          <w:rPr>
            <w:noProof/>
            <w:webHidden/>
          </w:rPr>
          <w:fldChar w:fldCharType="end"/>
        </w:r>
      </w:hyperlink>
    </w:p>
    <w:p w14:paraId="77503A6C" w14:textId="77777777" w:rsidR="00C1168E" w:rsidRPr="00DA409F" w:rsidRDefault="00C1168E">
      <w:pPr>
        <w:pStyle w:val="TOC2"/>
        <w:rPr>
          <w:rFonts w:ascii="Calibri" w:hAnsi="Calibri"/>
          <w:noProof/>
          <w:kern w:val="2"/>
          <w:szCs w:val="22"/>
          <w:lang w:eastAsia="en-GB"/>
        </w:rPr>
      </w:pPr>
      <w:hyperlink w:anchor="_Toc185257668" w:history="1">
        <w:r w:rsidRPr="00B24548">
          <w:rPr>
            <w:rStyle w:val="Hyperlink"/>
            <w:noProof/>
          </w:rPr>
          <w:t>1.2.</w:t>
        </w:r>
        <w:r w:rsidRPr="00DA409F">
          <w:rPr>
            <w:rFonts w:ascii="Calibri" w:hAnsi="Calibri"/>
            <w:noProof/>
            <w:kern w:val="2"/>
            <w:szCs w:val="22"/>
            <w:lang w:eastAsia="en-GB"/>
          </w:rPr>
          <w:tab/>
        </w:r>
        <w:r w:rsidRPr="00B24548">
          <w:rPr>
            <w:rStyle w:val="Hyperlink"/>
            <w:noProof/>
          </w:rPr>
          <w:t>Objectives of the programme and priority issues</w:t>
        </w:r>
        <w:r>
          <w:rPr>
            <w:noProof/>
            <w:webHidden/>
          </w:rPr>
          <w:tab/>
        </w:r>
        <w:r>
          <w:rPr>
            <w:noProof/>
            <w:webHidden/>
          </w:rPr>
          <w:fldChar w:fldCharType="begin"/>
        </w:r>
        <w:r>
          <w:rPr>
            <w:noProof/>
            <w:webHidden/>
          </w:rPr>
          <w:instrText xml:space="preserve"> PAGEREF _Toc185257668 \h </w:instrText>
        </w:r>
        <w:r>
          <w:rPr>
            <w:noProof/>
            <w:webHidden/>
          </w:rPr>
        </w:r>
        <w:r>
          <w:rPr>
            <w:noProof/>
            <w:webHidden/>
          </w:rPr>
          <w:fldChar w:fldCharType="separate"/>
        </w:r>
        <w:r w:rsidR="006E0D8B">
          <w:rPr>
            <w:noProof/>
            <w:webHidden/>
          </w:rPr>
          <w:t>6</w:t>
        </w:r>
        <w:r>
          <w:rPr>
            <w:noProof/>
            <w:webHidden/>
          </w:rPr>
          <w:fldChar w:fldCharType="end"/>
        </w:r>
      </w:hyperlink>
    </w:p>
    <w:p w14:paraId="5BDE2650" w14:textId="77777777" w:rsidR="00C1168E" w:rsidRPr="00DA409F" w:rsidRDefault="00C1168E">
      <w:pPr>
        <w:pStyle w:val="TOC2"/>
        <w:rPr>
          <w:rFonts w:ascii="Calibri" w:hAnsi="Calibri"/>
          <w:noProof/>
          <w:kern w:val="2"/>
          <w:szCs w:val="22"/>
          <w:lang w:eastAsia="en-GB"/>
        </w:rPr>
      </w:pPr>
      <w:hyperlink w:anchor="_Toc185257669" w:history="1">
        <w:r w:rsidRPr="00B24548">
          <w:rPr>
            <w:rStyle w:val="Hyperlink"/>
            <w:noProof/>
          </w:rPr>
          <w:t>1.3.</w:t>
        </w:r>
        <w:r w:rsidRPr="00DA409F">
          <w:rPr>
            <w:rFonts w:ascii="Calibri" w:hAnsi="Calibri"/>
            <w:noProof/>
            <w:kern w:val="2"/>
            <w:szCs w:val="22"/>
            <w:lang w:eastAsia="en-GB"/>
          </w:rPr>
          <w:tab/>
        </w:r>
        <w:r w:rsidRPr="00B24548">
          <w:rPr>
            <w:rStyle w:val="Hyperlink"/>
            <w:noProof/>
          </w:rPr>
          <w:t>Financial allocation provided by the contracting authority</w:t>
        </w:r>
        <w:r>
          <w:rPr>
            <w:noProof/>
            <w:webHidden/>
          </w:rPr>
          <w:tab/>
        </w:r>
        <w:r>
          <w:rPr>
            <w:noProof/>
            <w:webHidden/>
          </w:rPr>
          <w:fldChar w:fldCharType="begin"/>
        </w:r>
        <w:r>
          <w:rPr>
            <w:noProof/>
            <w:webHidden/>
          </w:rPr>
          <w:instrText xml:space="preserve"> PAGEREF _Toc185257669 \h </w:instrText>
        </w:r>
        <w:r>
          <w:rPr>
            <w:noProof/>
            <w:webHidden/>
          </w:rPr>
        </w:r>
        <w:r>
          <w:rPr>
            <w:noProof/>
            <w:webHidden/>
          </w:rPr>
          <w:fldChar w:fldCharType="separate"/>
        </w:r>
        <w:r w:rsidR="006E0D8B">
          <w:rPr>
            <w:noProof/>
            <w:webHidden/>
          </w:rPr>
          <w:t>9</w:t>
        </w:r>
        <w:r>
          <w:rPr>
            <w:noProof/>
            <w:webHidden/>
          </w:rPr>
          <w:fldChar w:fldCharType="end"/>
        </w:r>
      </w:hyperlink>
    </w:p>
    <w:p w14:paraId="7470A63F" w14:textId="77777777" w:rsidR="00C1168E" w:rsidRPr="00DA409F" w:rsidRDefault="00C1168E">
      <w:pPr>
        <w:pStyle w:val="TOC1"/>
        <w:rPr>
          <w:rFonts w:ascii="Calibri" w:hAnsi="Calibri"/>
          <w:b w:val="0"/>
          <w:caps w:val="0"/>
          <w:noProof/>
          <w:kern w:val="2"/>
          <w:szCs w:val="22"/>
          <w:lang w:eastAsia="en-GB"/>
        </w:rPr>
      </w:pPr>
      <w:hyperlink w:anchor="_Toc185257670" w:history="1">
        <w:r w:rsidRPr="00B24548">
          <w:rPr>
            <w:rStyle w:val="Hyperlink"/>
            <w:noProof/>
          </w:rPr>
          <w:t>2.</w:t>
        </w:r>
        <w:r w:rsidRPr="00DA409F">
          <w:rPr>
            <w:rFonts w:ascii="Calibri" w:hAnsi="Calibri"/>
            <w:b w:val="0"/>
            <w:caps w:val="0"/>
            <w:noProof/>
            <w:kern w:val="2"/>
            <w:szCs w:val="22"/>
            <w:lang w:eastAsia="en-GB"/>
          </w:rPr>
          <w:tab/>
        </w:r>
        <w:r w:rsidRPr="00B24548">
          <w:rPr>
            <w:rStyle w:val="Hyperlink"/>
            <w:noProof/>
          </w:rPr>
          <w:t>Rules FOR thIS call for proposalS</w:t>
        </w:r>
        <w:r>
          <w:rPr>
            <w:noProof/>
            <w:webHidden/>
          </w:rPr>
          <w:tab/>
        </w:r>
        <w:r>
          <w:rPr>
            <w:noProof/>
            <w:webHidden/>
          </w:rPr>
          <w:fldChar w:fldCharType="begin"/>
        </w:r>
        <w:r>
          <w:rPr>
            <w:noProof/>
            <w:webHidden/>
          </w:rPr>
          <w:instrText xml:space="preserve"> PAGEREF _Toc185257670 \h </w:instrText>
        </w:r>
        <w:r>
          <w:rPr>
            <w:noProof/>
            <w:webHidden/>
          </w:rPr>
        </w:r>
        <w:r>
          <w:rPr>
            <w:noProof/>
            <w:webHidden/>
          </w:rPr>
          <w:fldChar w:fldCharType="separate"/>
        </w:r>
        <w:r w:rsidR="006E0D8B">
          <w:rPr>
            <w:noProof/>
            <w:webHidden/>
          </w:rPr>
          <w:t>10</w:t>
        </w:r>
        <w:r>
          <w:rPr>
            <w:noProof/>
            <w:webHidden/>
          </w:rPr>
          <w:fldChar w:fldCharType="end"/>
        </w:r>
      </w:hyperlink>
    </w:p>
    <w:p w14:paraId="20A6C144" w14:textId="77777777" w:rsidR="00C1168E" w:rsidRPr="00DA409F" w:rsidRDefault="00C1168E">
      <w:pPr>
        <w:pStyle w:val="TOC2"/>
        <w:rPr>
          <w:rFonts w:ascii="Calibri" w:hAnsi="Calibri"/>
          <w:noProof/>
          <w:kern w:val="2"/>
          <w:szCs w:val="22"/>
          <w:lang w:eastAsia="en-GB"/>
        </w:rPr>
      </w:pPr>
      <w:hyperlink w:anchor="_Toc185257671" w:history="1">
        <w:r w:rsidRPr="00B24548">
          <w:rPr>
            <w:rStyle w:val="Hyperlink"/>
            <w:noProof/>
          </w:rPr>
          <w:t>2.1.</w:t>
        </w:r>
        <w:r w:rsidRPr="00DA409F">
          <w:rPr>
            <w:rFonts w:ascii="Calibri" w:hAnsi="Calibri"/>
            <w:noProof/>
            <w:kern w:val="2"/>
            <w:szCs w:val="22"/>
            <w:lang w:eastAsia="en-GB"/>
          </w:rPr>
          <w:tab/>
        </w:r>
        <w:r w:rsidRPr="00B24548">
          <w:rPr>
            <w:rStyle w:val="Hyperlink"/>
            <w:noProof/>
          </w:rPr>
          <w:t>Eligibility criteria</w:t>
        </w:r>
        <w:r>
          <w:rPr>
            <w:noProof/>
            <w:webHidden/>
          </w:rPr>
          <w:tab/>
        </w:r>
        <w:r>
          <w:rPr>
            <w:noProof/>
            <w:webHidden/>
          </w:rPr>
          <w:fldChar w:fldCharType="begin"/>
        </w:r>
        <w:r>
          <w:rPr>
            <w:noProof/>
            <w:webHidden/>
          </w:rPr>
          <w:instrText xml:space="preserve"> PAGEREF _Toc185257671 \h </w:instrText>
        </w:r>
        <w:r>
          <w:rPr>
            <w:noProof/>
            <w:webHidden/>
          </w:rPr>
        </w:r>
        <w:r>
          <w:rPr>
            <w:noProof/>
            <w:webHidden/>
          </w:rPr>
          <w:fldChar w:fldCharType="separate"/>
        </w:r>
        <w:r w:rsidR="006E0D8B">
          <w:rPr>
            <w:noProof/>
            <w:webHidden/>
          </w:rPr>
          <w:t>10</w:t>
        </w:r>
        <w:r>
          <w:rPr>
            <w:noProof/>
            <w:webHidden/>
          </w:rPr>
          <w:fldChar w:fldCharType="end"/>
        </w:r>
      </w:hyperlink>
    </w:p>
    <w:p w14:paraId="38510347" w14:textId="77777777" w:rsidR="00C1168E" w:rsidRPr="00DA409F" w:rsidRDefault="00C1168E">
      <w:pPr>
        <w:pStyle w:val="TOC3"/>
        <w:rPr>
          <w:rFonts w:ascii="Calibri" w:hAnsi="Calibri"/>
          <w:kern w:val="2"/>
          <w:sz w:val="22"/>
          <w:szCs w:val="22"/>
          <w:lang w:eastAsia="en-GB"/>
        </w:rPr>
      </w:pPr>
      <w:hyperlink w:anchor="_Toc185257672" w:history="1">
        <w:r w:rsidRPr="00B24548">
          <w:rPr>
            <w:rStyle w:val="Hyperlink"/>
            <w:rFonts w:ascii="Times New Roman Bold" w:hAnsi="Times New Roman Bold"/>
          </w:rPr>
          <w:t>2.1.1.</w:t>
        </w:r>
        <w:r w:rsidRPr="00DA409F">
          <w:rPr>
            <w:rFonts w:ascii="Calibri" w:hAnsi="Calibri"/>
            <w:kern w:val="2"/>
            <w:sz w:val="22"/>
            <w:szCs w:val="22"/>
            <w:lang w:eastAsia="en-GB"/>
          </w:rPr>
          <w:tab/>
        </w:r>
        <w:r w:rsidRPr="00B24548">
          <w:rPr>
            <w:rStyle w:val="Hyperlink"/>
          </w:rPr>
          <w:t>Eligibility of applicants (i.e. lead applicant and co-applicant(s))</w:t>
        </w:r>
        <w:r>
          <w:rPr>
            <w:webHidden/>
          </w:rPr>
          <w:tab/>
        </w:r>
        <w:r>
          <w:rPr>
            <w:webHidden/>
          </w:rPr>
          <w:fldChar w:fldCharType="begin"/>
        </w:r>
        <w:r>
          <w:rPr>
            <w:webHidden/>
          </w:rPr>
          <w:instrText xml:space="preserve"> PAGEREF _Toc185257672 \h </w:instrText>
        </w:r>
        <w:r>
          <w:rPr>
            <w:webHidden/>
          </w:rPr>
        </w:r>
        <w:r>
          <w:rPr>
            <w:webHidden/>
          </w:rPr>
          <w:fldChar w:fldCharType="separate"/>
        </w:r>
        <w:r w:rsidR="006E0D8B">
          <w:rPr>
            <w:webHidden/>
          </w:rPr>
          <w:t>11</w:t>
        </w:r>
        <w:r>
          <w:rPr>
            <w:webHidden/>
          </w:rPr>
          <w:fldChar w:fldCharType="end"/>
        </w:r>
      </w:hyperlink>
    </w:p>
    <w:p w14:paraId="16F78FC4" w14:textId="77777777" w:rsidR="00C1168E" w:rsidRPr="00DA409F" w:rsidRDefault="00C1168E">
      <w:pPr>
        <w:pStyle w:val="TOC3"/>
        <w:rPr>
          <w:rFonts w:ascii="Calibri" w:hAnsi="Calibri"/>
          <w:kern w:val="2"/>
          <w:sz w:val="22"/>
          <w:szCs w:val="22"/>
          <w:lang w:eastAsia="en-GB"/>
        </w:rPr>
      </w:pPr>
      <w:hyperlink w:anchor="_Toc185257673" w:history="1">
        <w:r w:rsidRPr="00B24548">
          <w:rPr>
            <w:rStyle w:val="Hyperlink"/>
            <w:rFonts w:ascii="Times New Roman Bold" w:hAnsi="Times New Roman Bold"/>
          </w:rPr>
          <w:t>2.1.2.</w:t>
        </w:r>
        <w:r w:rsidRPr="00DA409F">
          <w:rPr>
            <w:rFonts w:ascii="Calibri" w:hAnsi="Calibri"/>
            <w:kern w:val="2"/>
            <w:sz w:val="22"/>
            <w:szCs w:val="22"/>
            <w:lang w:eastAsia="en-GB"/>
          </w:rPr>
          <w:tab/>
        </w:r>
        <w:r w:rsidRPr="00B24548">
          <w:rPr>
            <w:rStyle w:val="Hyperlink"/>
          </w:rPr>
          <w:t>Associates, contractors, recipients of financial support</w:t>
        </w:r>
        <w:r>
          <w:rPr>
            <w:webHidden/>
          </w:rPr>
          <w:tab/>
        </w:r>
        <w:r>
          <w:rPr>
            <w:webHidden/>
          </w:rPr>
          <w:fldChar w:fldCharType="begin"/>
        </w:r>
        <w:r>
          <w:rPr>
            <w:webHidden/>
          </w:rPr>
          <w:instrText xml:space="preserve"> PAGEREF _Toc185257673 \h </w:instrText>
        </w:r>
        <w:r>
          <w:rPr>
            <w:webHidden/>
          </w:rPr>
        </w:r>
        <w:r>
          <w:rPr>
            <w:webHidden/>
          </w:rPr>
          <w:fldChar w:fldCharType="separate"/>
        </w:r>
        <w:r w:rsidR="006E0D8B">
          <w:rPr>
            <w:webHidden/>
          </w:rPr>
          <w:t>13</w:t>
        </w:r>
        <w:r>
          <w:rPr>
            <w:webHidden/>
          </w:rPr>
          <w:fldChar w:fldCharType="end"/>
        </w:r>
      </w:hyperlink>
    </w:p>
    <w:p w14:paraId="325304EE" w14:textId="77777777" w:rsidR="00C1168E" w:rsidRPr="00DA409F" w:rsidRDefault="00C1168E">
      <w:pPr>
        <w:pStyle w:val="TOC3"/>
        <w:rPr>
          <w:rFonts w:ascii="Calibri" w:hAnsi="Calibri"/>
          <w:kern w:val="2"/>
          <w:sz w:val="22"/>
          <w:szCs w:val="22"/>
          <w:lang w:eastAsia="en-GB"/>
        </w:rPr>
      </w:pPr>
      <w:hyperlink w:anchor="_Toc185257674" w:history="1">
        <w:r w:rsidRPr="00B24548">
          <w:rPr>
            <w:rStyle w:val="Hyperlink"/>
            <w:rFonts w:ascii="Times New Roman Bold" w:hAnsi="Times New Roman Bold"/>
          </w:rPr>
          <w:t>2.1.3.</w:t>
        </w:r>
        <w:r w:rsidRPr="00DA409F">
          <w:rPr>
            <w:rFonts w:ascii="Calibri" w:hAnsi="Calibri"/>
            <w:kern w:val="2"/>
            <w:sz w:val="22"/>
            <w:szCs w:val="22"/>
            <w:lang w:eastAsia="en-GB"/>
          </w:rPr>
          <w:tab/>
        </w:r>
        <w:r w:rsidRPr="00B24548">
          <w:rPr>
            <w:rStyle w:val="Hyperlink"/>
          </w:rPr>
          <w:t>Eligible actions: actions for which an application may be made</w:t>
        </w:r>
        <w:r>
          <w:rPr>
            <w:webHidden/>
          </w:rPr>
          <w:tab/>
        </w:r>
        <w:r>
          <w:rPr>
            <w:webHidden/>
          </w:rPr>
          <w:fldChar w:fldCharType="begin"/>
        </w:r>
        <w:r>
          <w:rPr>
            <w:webHidden/>
          </w:rPr>
          <w:instrText xml:space="preserve"> PAGEREF _Toc185257674 \h </w:instrText>
        </w:r>
        <w:r>
          <w:rPr>
            <w:webHidden/>
          </w:rPr>
        </w:r>
        <w:r>
          <w:rPr>
            <w:webHidden/>
          </w:rPr>
          <w:fldChar w:fldCharType="separate"/>
        </w:r>
        <w:r w:rsidR="006E0D8B">
          <w:rPr>
            <w:webHidden/>
          </w:rPr>
          <w:t>13</w:t>
        </w:r>
        <w:r>
          <w:rPr>
            <w:webHidden/>
          </w:rPr>
          <w:fldChar w:fldCharType="end"/>
        </w:r>
      </w:hyperlink>
    </w:p>
    <w:p w14:paraId="35F0F72D" w14:textId="77777777" w:rsidR="00C1168E" w:rsidRPr="00DA409F" w:rsidRDefault="00C1168E">
      <w:pPr>
        <w:pStyle w:val="TOC3"/>
        <w:rPr>
          <w:rFonts w:ascii="Calibri" w:hAnsi="Calibri"/>
          <w:kern w:val="2"/>
          <w:sz w:val="22"/>
          <w:szCs w:val="22"/>
          <w:lang w:eastAsia="en-GB"/>
        </w:rPr>
      </w:pPr>
      <w:hyperlink w:anchor="_Toc185257675" w:history="1">
        <w:r w:rsidRPr="00B24548">
          <w:rPr>
            <w:rStyle w:val="Hyperlink"/>
            <w:rFonts w:ascii="Times New Roman Bold" w:hAnsi="Times New Roman Bold"/>
          </w:rPr>
          <w:t>2.1.4.</w:t>
        </w:r>
        <w:r w:rsidRPr="00DA409F">
          <w:rPr>
            <w:rFonts w:ascii="Calibri" w:hAnsi="Calibri"/>
            <w:kern w:val="2"/>
            <w:sz w:val="22"/>
            <w:szCs w:val="22"/>
            <w:lang w:eastAsia="en-GB"/>
          </w:rPr>
          <w:tab/>
        </w:r>
        <w:r w:rsidRPr="00B24548">
          <w:rPr>
            <w:rStyle w:val="Hyperlink"/>
          </w:rPr>
          <w:t>Eligib</w:t>
        </w:r>
        <w:r w:rsidRPr="00B24548">
          <w:rPr>
            <w:rStyle w:val="Hyperlink"/>
          </w:rPr>
          <w:t>i</w:t>
        </w:r>
        <w:r w:rsidRPr="00B24548">
          <w:rPr>
            <w:rStyle w:val="Hyperlink"/>
          </w:rPr>
          <w:t>lity of costs and eligibility of results/conditions</w:t>
        </w:r>
        <w:r>
          <w:rPr>
            <w:webHidden/>
          </w:rPr>
          <w:tab/>
        </w:r>
        <w:r>
          <w:rPr>
            <w:webHidden/>
          </w:rPr>
          <w:fldChar w:fldCharType="begin"/>
        </w:r>
        <w:r>
          <w:rPr>
            <w:webHidden/>
          </w:rPr>
          <w:instrText xml:space="preserve"> PAGEREF _Toc185257675 \h </w:instrText>
        </w:r>
        <w:r>
          <w:rPr>
            <w:webHidden/>
          </w:rPr>
        </w:r>
        <w:r>
          <w:rPr>
            <w:webHidden/>
          </w:rPr>
          <w:fldChar w:fldCharType="separate"/>
        </w:r>
        <w:r w:rsidR="006E0D8B">
          <w:rPr>
            <w:webHidden/>
          </w:rPr>
          <w:t>17</w:t>
        </w:r>
        <w:r>
          <w:rPr>
            <w:webHidden/>
          </w:rPr>
          <w:fldChar w:fldCharType="end"/>
        </w:r>
      </w:hyperlink>
    </w:p>
    <w:p w14:paraId="78475595" w14:textId="77777777" w:rsidR="00C1168E" w:rsidRPr="00DA409F" w:rsidRDefault="00C1168E">
      <w:pPr>
        <w:pStyle w:val="TOC3"/>
        <w:rPr>
          <w:rFonts w:ascii="Calibri" w:hAnsi="Calibri"/>
          <w:kern w:val="2"/>
          <w:sz w:val="22"/>
          <w:szCs w:val="22"/>
          <w:lang w:eastAsia="en-GB"/>
        </w:rPr>
      </w:pPr>
      <w:hyperlink w:anchor="_Toc185257676" w:history="1">
        <w:r w:rsidRPr="00B24548">
          <w:rPr>
            <w:rStyle w:val="Hyperlink"/>
            <w:rFonts w:ascii="Times New Roman Bold" w:hAnsi="Times New Roman Bold"/>
          </w:rPr>
          <w:t>2.1.5.</w:t>
        </w:r>
        <w:r w:rsidRPr="00DA409F">
          <w:rPr>
            <w:rFonts w:ascii="Calibri" w:hAnsi="Calibri"/>
            <w:kern w:val="2"/>
            <w:sz w:val="22"/>
            <w:szCs w:val="22"/>
            <w:lang w:eastAsia="en-GB"/>
          </w:rPr>
          <w:tab/>
        </w:r>
        <w:r w:rsidRPr="00B24548">
          <w:rPr>
            <w:rStyle w:val="Hyperlink"/>
          </w:rPr>
          <w:t>Ethics and values</w:t>
        </w:r>
        <w:r>
          <w:rPr>
            <w:webHidden/>
          </w:rPr>
          <w:tab/>
        </w:r>
        <w:r>
          <w:rPr>
            <w:webHidden/>
          </w:rPr>
          <w:fldChar w:fldCharType="begin"/>
        </w:r>
        <w:r>
          <w:rPr>
            <w:webHidden/>
          </w:rPr>
          <w:instrText xml:space="preserve"> PAGEREF _Toc185257676 \h </w:instrText>
        </w:r>
        <w:r>
          <w:rPr>
            <w:webHidden/>
          </w:rPr>
        </w:r>
        <w:r>
          <w:rPr>
            <w:webHidden/>
          </w:rPr>
          <w:fldChar w:fldCharType="separate"/>
        </w:r>
        <w:r w:rsidR="006E0D8B">
          <w:rPr>
            <w:webHidden/>
          </w:rPr>
          <w:t>19</w:t>
        </w:r>
        <w:r>
          <w:rPr>
            <w:webHidden/>
          </w:rPr>
          <w:fldChar w:fldCharType="end"/>
        </w:r>
      </w:hyperlink>
    </w:p>
    <w:p w14:paraId="63AB25F8" w14:textId="77777777" w:rsidR="00C1168E" w:rsidRPr="00DA409F" w:rsidRDefault="00C1168E">
      <w:pPr>
        <w:pStyle w:val="TOC2"/>
        <w:rPr>
          <w:rFonts w:ascii="Calibri" w:hAnsi="Calibri"/>
          <w:noProof/>
          <w:kern w:val="2"/>
          <w:szCs w:val="22"/>
          <w:lang w:eastAsia="en-GB"/>
        </w:rPr>
      </w:pPr>
      <w:hyperlink w:anchor="_Toc185257677" w:history="1">
        <w:r w:rsidRPr="00B24548">
          <w:rPr>
            <w:rStyle w:val="Hyperlink"/>
            <w:noProof/>
          </w:rPr>
          <w:t>2.2.</w:t>
        </w:r>
        <w:r w:rsidRPr="00DA409F">
          <w:rPr>
            <w:rFonts w:ascii="Calibri" w:hAnsi="Calibri"/>
            <w:noProof/>
            <w:kern w:val="2"/>
            <w:szCs w:val="22"/>
            <w:lang w:eastAsia="en-GB"/>
          </w:rPr>
          <w:tab/>
        </w:r>
        <w:r w:rsidRPr="00B24548">
          <w:rPr>
            <w:rStyle w:val="Hyperlink"/>
            <w:noProof/>
          </w:rPr>
          <w:t>How to apply and the procedures to follow</w:t>
        </w:r>
        <w:r>
          <w:rPr>
            <w:noProof/>
            <w:webHidden/>
          </w:rPr>
          <w:tab/>
        </w:r>
        <w:r>
          <w:rPr>
            <w:noProof/>
            <w:webHidden/>
          </w:rPr>
          <w:fldChar w:fldCharType="begin"/>
        </w:r>
        <w:r>
          <w:rPr>
            <w:noProof/>
            <w:webHidden/>
          </w:rPr>
          <w:instrText xml:space="preserve"> PAGEREF _Toc185257677 \h </w:instrText>
        </w:r>
        <w:r>
          <w:rPr>
            <w:noProof/>
            <w:webHidden/>
          </w:rPr>
        </w:r>
        <w:r>
          <w:rPr>
            <w:noProof/>
            <w:webHidden/>
          </w:rPr>
          <w:fldChar w:fldCharType="separate"/>
        </w:r>
        <w:r w:rsidR="006E0D8B">
          <w:rPr>
            <w:noProof/>
            <w:webHidden/>
          </w:rPr>
          <w:t>20</w:t>
        </w:r>
        <w:r>
          <w:rPr>
            <w:noProof/>
            <w:webHidden/>
          </w:rPr>
          <w:fldChar w:fldCharType="end"/>
        </w:r>
      </w:hyperlink>
    </w:p>
    <w:p w14:paraId="37DC8A37" w14:textId="77777777" w:rsidR="00C1168E" w:rsidRPr="00DA409F" w:rsidRDefault="00C1168E">
      <w:pPr>
        <w:pStyle w:val="TOC3"/>
        <w:rPr>
          <w:rFonts w:ascii="Calibri" w:hAnsi="Calibri"/>
          <w:kern w:val="2"/>
          <w:sz w:val="22"/>
          <w:szCs w:val="22"/>
          <w:lang w:eastAsia="en-GB"/>
        </w:rPr>
      </w:pPr>
      <w:hyperlink w:anchor="_Toc185257678" w:history="1">
        <w:r w:rsidRPr="00B24548">
          <w:rPr>
            <w:rStyle w:val="Hyperlink"/>
            <w:rFonts w:ascii="Times New Roman Bold" w:hAnsi="Times New Roman Bold"/>
          </w:rPr>
          <w:t>2.2.1.</w:t>
        </w:r>
        <w:r w:rsidRPr="00DA409F">
          <w:rPr>
            <w:rFonts w:ascii="Calibri" w:hAnsi="Calibri"/>
            <w:kern w:val="2"/>
            <w:sz w:val="22"/>
            <w:szCs w:val="22"/>
            <w:lang w:eastAsia="en-GB"/>
          </w:rPr>
          <w:tab/>
        </w:r>
        <w:r w:rsidRPr="00B24548">
          <w:rPr>
            <w:rStyle w:val="Hyperlink"/>
          </w:rPr>
          <w:t>Concept note content</w:t>
        </w:r>
        <w:r>
          <w:rPr>
            <w:webHidden/>
          </w:rPr>
          <w:tab/>
        </w:r>
        <w:r>
          <w:rPr>
            <w:webHidden/>
          </w:rPr>
          <w:fldChar w:fldCharType="begin"/>
        </w:r>
        <w:r>
          <w:rPr>
            <w:webHidden/>
          </w:rPr>
          <w:instrText xml:space="preserve"> PAGEREF _Toc185257678 \h </w:instrText>
        </w:r>
        <w:r>
          <w:rPr>
            <w:webHidden/>
          </w:rPr>
        </w:r>
        <w:r>
          <w:rPr>
            <w:webHidden/>
          </w:rPr>
          <w:fldChar w:fldCharType="separate"/>
        </w:r>
        <w:r w:rsidR="006E0D8B">
          <w:rPr>
            <w:webHidden/>
          </w:rPr>
          <w:t>21</w:t>
        </w:r>
        <w:r>
          <w:rPr>
            <w:webHidden/>
          </w:rPr>
          <w:fldChar w:fldCharType="end"/>
        </w:r>
      </w:hyperlink>
    </w:p>
    <w:p w14:paraId="22AF21C5" w14:textId="77777777" w:rsidR="00C1168E" w:rsidRPr="00DA409F" w:rsidRDefault="00C1168E">
      <w:pPr>
        <w:pStyle w:val="TOC3"/>
        <w:rPr>
          <w:rFonts w:ascii="Calibri" w:hAnsi="Calibri"/>
          <w:kern w:val="2"/>
          <w:sz w:val="22"/>
          <w:szCs w:val="22"/>
          <w:lang w:eastAsia="en-GB"/>
        </w:rPr>
      </w:pPr>
      <w:hyperlink w:anchor="_Toc185257679" w:history="1">
        <w:r w:rsidRPr="00B24548">
          <w:rPr>
            <w:rStyle w:val="Hyperlink"/>
            <w:rFonts w:ascii="Times New Roman Bold" w:hAnsi="Times New Roman Bold"/>
          </w:rPr>
          <w:t>2.2.2.</w:t>
        </w:r>
        <w:r w:rsidRPr="00DA409F">
          <w:rPr>
            <w:rFonts w:ascii="Calibri" w:hAnsi="Calibri"/>
            <w:kern w:val="2"/>
            <w:sz w:val="22"/>
            <w:szCs w:val="22"/>
            <w:lang w:eastAsia="en-GB"/>
          </w:rPr>
          <w:tab/>
        </w:r>
        <w:r w:rsidRPr="00B24548">
          <w:rPr>
            <w:rStyle w:val="Hyperlink"/>
          </w:rPr>
          <w:t>Where and how to send concept notes</w:t>
        </w:r>
        <w:r>
          <w:rPr>
            <w:webHidden/>
          </w:rPr>
          <w:tab/>
        </w:r>
        <w:r>
          <w:rPr>
            <w:webHidden/>
          </w:rPr>
          <w:fldChar w:fldCharType="begin"/>
        </w:r>
        <w:r>
          <w:rPr>
            <w:webHidden/>
          </w:rPr>
          <w:instrText xml:space="preserve"> PAGEREF _Toc185257679 \h </w:instrText>
        </w:r>
        <w:r>
          <w:rPr>
            <w:webHidden/>
          </w:rPr>
        </w:r>
        <w:r>
          <w:rPr>
            <w:webHidden/>
          </w:rPr>
          <w:fldChar w:fldCharType="separate"/>
        </w:r>
        <w:r w:rsidR="006E0D8B">
          <w:rPr>
            <w:webHidden/>
          </w:rPr>
          <w:t>22</w:t>
        </w:r>
        <w:r>
          <w:rPr>
            <w:webHidden/>
          </w:rPr>
          <w:fldChar w:fldCharType="end"/>
        </w:r>
      </w:hyperlink>
    </w:p>
    <w:p w14:paraId="33AF487A" w14:textId="77777777" w:rsidR="00C1168E" w:rsidRPr="00DA409F" w:rsidRDefault="00C1168E">
      <w:pPr>
        <w:pStyle w:val="TOC3"/>
        <w:rPr>
          <w:rFonts w:ascii="Calibri" w:hAnsi="Calibri"/>
          <w:kern w:val="2"/>
          <w:sz w:val="22"/>
          <w:szCs w:val="22"/>
          <w:lang w:eastAsia="en-GB"/>
        </w:rPr>
      </w:pPr>
      <w:hyperlink w:anchor="_Toc185257680" w:history="1">
        <w:r w:rsidRPr="00B24548">
          <w:rPr>
            <w:rStyle w:val="Hyperlink"/>
            <w:rFonts w:ascii="Times New Roman Bold" w:hAnsi="Times New Roman Bold"/>
          </w:rPr>
          <w:t>2.2.3.</w:t>
        </w:r>
        <w:r w:rsidRPr="00DA409F">
          <w:rPr>
            <w:rFonts w:ascii="Calibri" w:hAnsi="Calibri"/>
            <w:kern w:val="2"/>
            <w:sz w:val="22"/>
            <w:szCs w:val="22"/>
            <w:lang w:eastAsia="en-GB"/>
          </w:rPr>
          <w:tab/>
        </w:r>
        <w:r w:rsidRPr="00B24548">
          <w:rPr>
            <w:rStyle w:val="Hyperlink"/>
          </w:rPr>
          <w:t>Deadline for submission of concept notes</w:t>
        </w:r>
        <w:r>
          <w:rPr>
            <w:webHidden/>
          </w:rPr>
          <w:tab/>
        </w:r>
        <w:r>
          <w:rPr>
            <w:webHidden/>
          </w:rPr>
          <w:fldChar w:fldCharType="begin"/>
        </w:r>
        <w:r>
          <w:rPr>
            <w:webHidden/>
          </w:rPr>
          <w:instrText xml:space="preserve"> PAGEREF _Toc185257680 \h </w:instrText>
        </w:r>
        <w:r>
          <w:rPr>
            <w:webHidden/>
          </w:rPr>
        </w:r>
        <w:r>
          <w:rPr>
            <w:webHidden/>
          </w:rPr>
          <w:fldChar w:fldCharType="separate"/>
        </w:r>
        <w:r w:rsidR="006E0D8B">
          <w:rPr>
            <w:webHidden/>
          </w:rPr>
          <w:t>22</w:t>
        </w:r>
        <w:r>
          <w:rPr>
            <w:webHidden/>
          </w:rPr>
          <w:fldChar w:fldCharType="end"/>
        </w:r>
      </w:hyperlink>
    </w:p>
    <w:p w14:paraId="667C35DA" w14:textId="77777777" w:rsidR="00C1168E" w:rsidRPr="00DA409F" w:rsidRDefault="00C1168E">
      <w:pPr>
        <w:pStyle w:val="TOC3"/>
        <w:rPr>
          <w:rFonts w:ascii="Calibri" w:hAnsi="Calibri"/>
          <w:kern w:val="2"/>
          <w:sz w:val="22"/>
          <w:szCs w:val="22"/>
          <w:lang w:eastAsia="en-GB"/>
        </w:rPr>
      </w:pPr>
      <w:hyperlink w:anchor="_Toc185257681" w:history="1">
        <w:r w:rsidRPr="00B24548">
          <w:rPr>
            <w:rStyle w:val="Hyperlink"/>
            <w:rFonts w:ascii="Times New Roman Bold" w:hAnsi="Times New Roman Bold"/>
          </w:rPr>
          <w:t>2.2.4.</w:t>
        </w:r>
        <w:r w:rsidRPr="00DA409F">
          <w:rPr>
            <w:rFonts w:ascii="Calibri" w:hAnsi="Calibri"/>
            <w:kern w:val="2"/>
            <w:sz w:val="22"/>
            <w:szCs w:val="22"/>
            <w:lang w:eastAsia="en-GB"/>
          </w:rPr>
          <w:tab/>
        </w:r>
        <w:r w:rsidRPr="00B24548">
          <w:rPr>
            <w:rStyle w:val="Hyperlink"/>
          </w:rPr>
          <w:t>Further information about concept notes</w:t>
        </w:r>
        <w:r>
          <w:rPr>
            <w:webHidden/>
          </w:rPr>
          <w:tab/>
        </w:r>
        <w:r>
          <w:rPr>
            <w:webHidden/>
          </w:rPr>
          <w:fldChar w:fldCharType="begin"/>
        </w:r>
        <w:r>
          <w:rPr>
            <w:webHidden/>
          </w:rPr>
          <w:instrText xml:space="preserve"> PAGEREF _Toc185257681 \h </w:instrText>
        </w:r>
        <w:r>
          <w:rPr>
            <w:webHidden/>
          </w:rPr>
        </w:r>
        <w:r>
          <w:rPr>
            <w:webHidden/>
          </w:rPr>
          <w:fldChar w:fldCharType="separate"/>
        </w:r>
        <w:r w:rsidR="006E0D8B">
          <w:rPr>
            <w:webHidden/>
          </w:rPr>
          <w:t>23</w:t>
        </w:r>
        <w:r>
          <w:rPr>
            <w:webHidden/>
          </w:rPr>
          <w:fldChar w:fldCharType="end"/>
        </w:r>
      </w:hyperlink>
    </w:p>
    <w:p w14:paraId="462ADB9D" w14:textId="77777777" w:rsidR="00C1168E" w:rsidRPr="00DA409F" w:rsidRDefault="00C1168E">
      <w:pPr>
        <w:pStyle w:val="TOC3"/>
        <w:rPr>
          <w:rFonts w:ascii="Calibri" w:hAnsi="Calibri"/>
          <w:kern w:val="2"/>
          <w:sz w:val="22"/>
          <w:szCs w:val="22"/>
          <w:lang w:eastAsia="en-GB"/>
        </w:rPr>
      </w:pPr>
      <w:hyperlink w:anchor="_Toc185257682" w:history="1">
        <w:r w:rsidRPr="00B24548">
          <w:rPr>
            <w:rStyle w:val="Hyperlink"/>
            <w:rFonts w:ascii="Times New Roman Bold" w:hAnsi="Times New Roman Bold"/>
          </w:rPr>
          <w:t>2.2.5.</w:t>
        </w:r>
        <w:r w:rsidRPr="00DA409F">
          <w:rPr>
            <w:rFonts w:ascii="Calibri" w:hAnsi="Calibri"/>
            <w:kern w:val="2"/>
            <w:sz w:val="22"/>
            <w:szCs w:val="22"/>
            <w:lang w:eastAsia="en-GB"/>
          </w:rPr>
          <w:tab/>
        </w:r>
        <w:r w:rsidRPr="00B24548">
          <w:rPr>
            <w:rStyle w:val="Hyperlink"/>
          </w:rPr>
          <w:t>Full applications</w:t>
        </w:r>
        <w:r>
          <w:rPr>
            <w:webHidden/>
          </w:rPr>
          <w:tab/>
        </w:r>
        <w:r>
          <w:rPr>
            <w:webHidden/>
          </w:rPr>
          <w:fldChar w:fldCharType="begin"/>
        </w:r>
        <w:r>
          <w:rPr>
            <w:webHidden/>
          </w:rPr>
          <w:instrText xml:space="preserve"> PAGEREF _Toc185257682 \h </w:instrText>
        </w:r>
        <w:r>
          <w:rPr>
            <w:webHidden/>
          </w:rPr>
        </w:r>
        <w:r>
          <w:rPr>
            <w:webHidden/>
          </w:rPr>
          <w:fldChar w:fldCharType="separate"/>
        </w:r>
        <w:r w:rsidR="006E0D8B">
          <w:rPr>
            <w:webHidden/>
          </w:rPr>
          <w:t>23</w:t>
        </w:r>
        <w:r>
          <w:rPr>
            <w:webHidden/>
          </w:rPr>
          <w:fldChar w:fldCharType="end"/>
        </w:r>
      </w:hyperlink>
    </w:p>
    <w:p w14:paraId="7537F3B1" w14:textId="77777777" w:rsidR="00C1168E" w:rsidRPr="00DA409F" w:rsidRDefault="00C1168E">
      <w:pPr>
        <w:pStyle w:val="TOC3"/>
        <w:rPr>
          <w:rFonts w:ascii="Calibri" w:hAnsi="Calibri"/>
          <w:kern w:val="2"/>
          <w:sz w:val="22"/>
          <w:szCs w:val="22"/>
          <w:lang w:eastAsia="en-GB"/>
        </w:rPr>
      </w:pPr>
      <w:hyperlink w:anchor="_Toc185257683" w:history="1">
        <w:r w:rsidRPr="00B24548">
          <w:rPr>
            <w:rStyle w:val="Hyperlink"/>
            <w:rFonts w:ascii="Times New Roman Bold" w:hAnsi="Times New Roman Bold"/>
          </w:rPr>
          <w:t>2.2.6.</w:t>
        </w:r>
        <w:r w:rsidRPr="00DA409F">
          <w:rPr>
            <w:rFonts w:ascii="Calibri" w:hAnsi="Calibri"/>
            <w:kern w:val="2"/>
            <w:sz w:val="22"/>
            <w:szCs w:val="22"/>
            <w:lang w:eastAsia="en-GB"/>
          </w:rPr>
          <w:tab/>
        </w:r>
        <w:r w:rsidRPr="00B24548">
          <w:rPr>
            <w:rStyle w:val="Hyperlink"/>
          </w:rPr>
          <w:t>Where and how to send full applications</w:t>
        </w:r>
        <w:r>
          <w:rPr>
            <w:webHidden/>
          </w:rPr>
          <w:tab/>
        </w:r>
        <w:r>
          <w:rPr>
            <w:webHidden/>
          </w:rPr>
          <w:fldChar w:fldCharType="begin"/>
        </w:r>
        <w:r>
          <w:rPr>
            <w:webHidden/>
          </w:rPr>
          <w:instrText xml:space="preserve"> PAGEREF _Toc185257683 \h </w:instrText>
        </w:r>
        <w:r>
          <w:rPr>
            <w:webHidden/>
          </w:rPr>
        </w:r>
        <w:r>
          <w:rPr>
            <w:webHidden/>
          </w:rPr>
          <w:fldChar w:fldCharType="separate"/>
        </w:r>
        <w:r w:rsidR="006E0D8B">
          <w:rPr>
            <w:webHidden/>
          </w:rPr>
          <w:t>25</w:t>
        </w:r>
        <w:r>
          <w:rPr>
            <w:webHidden/>
          </w:rPr>
          <w:fldChar w:fldCharType="end"/>
        </w:r>
      </w:hyperlink>
    </w:p>
    <w:p w14:paraId="7E8CCF73" w14:textId="77777777" w:rsidR="00C1168E" w:rsidRPr="00DA409F" w:rsidRDefault="00C1168E">
      <w:pPr>
        <w:pStyle w:val="TOC3"/>
        <w:rPr>
          <w:rFonts w:ascii="Calibri" w:hAnsi="Calibri"/>
          <w:kern w:val="2"/>
          <w:sz w:val="22"/>
          <w:szCs w:val="22"/>
          <w:lang w:eastAsia="en-GB"/>
        </w:rPr>
      </w:pPr>
      <w:hyperlink w:anchor="_Toc185257684" w:history="1">
        <w:r w:rsidRPr="00B24548">
          <w:rPr>
            <w:rStyle w:val="Hyperlink"/>
            <w:rFonts w:ascii="Times New Roman Bold" w:hAnsi="Times New Roman Bold"/>
          </w:rPr>
          <w:t>2.2.7.</w:t>
        </w:r>
        <w:r w:rsidRPr="00DA409F">
          <w:rPr>
            <w:rFonts w:ascii="Calibri" w:hAnsi="Calibri"/>
            <w:kern w:val="2"/>
            <w:sz w:val="22"/>
            <w:szCs w:val="22"/>
            <w:lang w:eastAsia="en-GB"/>
          </w:rPr>
          <w:tab/>
        </w:r>
        <w:r w:rsidRPr="00B24548">
          <w:rPr>
            <w:rStyle w:val="Hyperlink"/>
          </w:rPr>
          <w:t>Deadline for submission of full applications</w:t>
        </w:r>
        <w:r>
          <w:rPr>
            <w:webHidden/>
          </w:rPr>
          <w:tab/>
        </w:r>
        <w:r>
          <w:rPr>
            <w:webHidden/>
          </w:rPr>
          <w:fldChar w:fldCharType="begin"/>
        </w:r>
        <w:r>
          <w:rPr>
            <w:webHidden/>
          </w:rPr>
          <w:instrText xml:space="preserve"> PAGEREF _Toc185257684 \h </w:instrText>
        </w:r>
        <w:r>
          <w:rPr>
            <w:webHidden/>
          </w:rPr>
        </w:r>
        <w:r>
          <w:rPr>
            <w:webHidden/>
          </w:rPr>
          <w:fldChar w:fldCharType="separate"/>
        </w:r>
        <w:r w:rsidR="006E0D8B">
          <w:rPr>
            <w:webHidden/>
          </w:rPr>
          <w:t>25</w:t>
        </w:r>
        <w:r>
          <w:rPr>
            <w:webHidden/>
          </w:rPr>
          <w:fldChar w:fldCharType="end"/>
        </w:r>
      </w:hyperlink>
    </w:p>
    <w:p w14:paraId="7AFF5C3F" w14:textId="77777777" w:rsidR="00C1168E" w:rsidRPr="00DA409F" w:rsidRDefault="00C1168E">
      <w:pPr>
        <w:pStyle w:val="TOC3"/>
        <w:rPr>
          <w:rFonts w:ascii="Calibri" w:hAnsi="Calibri"/>
          <w:kern w:val="2"/>
          <w:sz w:val="22"/>
          <w:szCs w:val="22"/>
          <w:lang w:eastAsia="en-GB"/>
        </w:rPr>
      </w:pPr>
      <w:hyperlink w:anchor="_Toc185257685" w:history="1">
        <w:r w:rsidRPr="00B24548">
          <w:rPr>
            <w:rStyle w:val="Hyperlink"/>
            <w:rFonts w:ascii="Times New Roman Bold" w:hAnsi="Times New Roman Bold"/>
          </w:rPr>
          <w:t>2.2.8.</w:t>
        </w:r>
        <w:r w:rsidRPr="00DA409F">
          <w:rPr>
            <w:rFonts w:ascii="Calibri" w:hAnsi="Calibri"/>
            <w:kern w:val="2"/>
            <w:sz w:val="22"/>
            <w:szCs w:val="22"/>
            <w:lang w:eastAsia="en-GB"/>
          </w:rPr>
          <w:tab/>
        </w:r>
        <w:r w:rsidRPr="00B24548">
          <w:rPr>
            <w:rStyle w:val="Hyperlink"/>
          </w:rPr>
          <w:t>Further information about full applications</w:t>
        </w:r>
        <w:r>
          <w:rPr>
            <w:webHidden/>
          </w:rPr>
          <w:tab/>
        </w:r>
        <w:r>
          <w:rPr>
            <w:webHidden/>
          </w:rPr>
          <w:fldChar w:fldCharType="begin"/>
        </w:r>
        <w:r>
          <w:rPr>
            <w:webHidden/>
          </w:rPr>
          <w:instrText xml:space="preserve"> PAGEREF _Toc185257685 \h </w:instrText>
        </w:r>
        <w:r>
          <w:rPr>
            <w:webHidden/>
          </w:rPr>
        </w:r>
        <w:r>
          <w:rPr>
            <w:webHidden/>
          </w:rPr>
          <w:fldChar w:fldCharType="separate"/>
        </w:r>
        <w:r w:rsidR="006E0D8B">
          <w:rPr>
            <w:webHidden/>
          </w:rPr>
          <w:t>26</w:t>
        </w:r>
        <w:r>
          <w:rPr>
            <w:webHidden/>
          </w:rPr>
          <w:fldChar w:fldCharType="end"/>
        </w:r>
      </w:hyperlink>
    </w:p>
    <w:p w14:paraId="3182C543" w14:textId="77777777" w:rsidR="00C1168E" w:rsidRPr="00DA409F" w:rsidRDefault="00C1168E">
      <w:pPr>
        <w:pStyle w:val="TOC2"/>
        <w:rPr>
          <w:rFonts w:ascii="Calibri" w:hAnsi="Calibri"/>
          <w:noProof/>
          <w:kern w:val="2"/>
          <w:szCs w:val="22"/>
          <w:lang w:eastAsia="en-GB"/>
        </w:rPr>
      </w:pPr>
      <w:hyperlink w:anchor="_Toc185257686" w:history="1">
        <w:r w:rsidRPr="00B24548">
          <w:rPr>
            <w:rStyle w:val="Hyperlink"/>
            <w:i/>
            <w:noProof/>
          </w:rPr>
          <w:t>2.3.</w:t>
        </w:r>
        <w:r w:rsidRPr="00DA409F">
          <w:rPr>
            <w:rFonts w:ascii="Calibri" w:hAnsi="Calibri"/>
            <w:noProof/>
            <w:kern w:val="2"/>
            <w:szCs w:val="22"/>
            <w:lang w:eastAsia="en-GB"/>
          </w:rPr>
          <w:tab/>
        </w:r>
        <w:r w:rsidRPr="00B24548">
          <w:rPr>
            <w:rStyle w:val="Hyperlink"/>
            <w:noProof/>
          </w:rPr>
          <w:t>Evaluation</w:t>
        </w:r>
        <w:r>
          <w:rPr>
            <w:noProof/>
            <w:webHidden/>
          </w:rPr>
          <w:tab/>
        </w:r>
        <w:r>
          <w:rPr>
            <w:noProof/>
            <w:webHidden/>
          </w:rPr>
          <w:fldChar w:fldCharType="begin"/>
        </w:r>
        <w:r>
          <w:rPr>
            <w:noProof/>
            <w:webHidden/>
          </w:rPr>
          <w:instrText xml:space="preserve"> PAGEREF _Toc185257686 \h </w:instrText>
        </w:r>
        <w:r>
          <w:rPr>
            <w:noProof/>
            <w:webHidden/>
          </w:rPr>
        </w:r>
        <w:r>
          <w:rPr>
            <w:noProof/>
            <w:webHidden/>
          </w:rPr>
          <w:fldChar w:fldCharType="separate"/>
        </w:r>
        <w:r w:rsidR="006E0D8B">
          <w:rPr>
            <w:noProof/>
            <w:webHidden/>
          </w:rPr>
          <w:t>26</w:t>
        </w:r>
        <w:r>
          <w:rPr>
            <w:noProof/>
            <w:webHidden/>
          </w:rPr>
          <w:fldChar w:fldCharType="end"/>
        </w:r>
      </w:hyperlink>
    </w:p>
    <w:p w14:paraId="00D6763B" w14:textId="77777777" w:rsidR="00C1168E" w:rsidRPr="00DA409F" w:rsidRDefault="00C1168E">
      <w:pPr>
        <w:pStyle w:val="TOC3"/>
        <w:rPr>
          <w:rFonts w:ascii="Calibri" w:hAnsi="Calibri"/>
          <w:kern w:val="2"/>
          <w:sz w:val="22"/>
          <w:szCs w:val="22"/>
          <w:lang w:eastAsia="en-GB"/>
        </w:rPr>
      </w:pPr>
      <w:hyperlink w:anchor="_Toc185257687" w:history="1">
        <w:r w:rsidRPr="00B24548">
          <w:rPr>
            <w:rStyle w:val="Hyperlink"/>
            <w:rFonts w:ascii="Times New Roman Bold" w:hAnsi="Times New Roman Bold"/>
          </w:rPr>
          <w:t>2.3.1.</w:t>
        </w:r>
        <w:r w:rsidRPr="00DA409F">
          <w:rPr>
            <w:rFonts w:ascii="Calibri" w:hAnsi="Calibri"/>
            <w:kern w:val="2"/>
            <w:sz w:val="22"/>
            <w:szCs w:val="22"/>
            <w:lang w:eastAsia="en-GB"/>
          </w:rPr>
          <w:tab/>
        </w:r>
        <w:r w:rsidRPr="00B24548">
          <w:rPr>
            <w:rStyle w:val="Hyperlink"/>
          </w:rPr>
          <w:t>STEP 1: [OPENING &amp;]ADMINISTRATIVE CHECKS AND CONCEPT NOTE EVALUATION</w:t>
        </w:r>
        <w:r>
          <w:rPr>
            <w:webHidden/>
          </w:rPr>
          <w:tab/>
        </w:r>
        <w:r>
          <w:rPr>
            <w:webHidden/>
          </w:rPr>
          <w:fldChar w:fldCharType="begin"/>
        </w:r>
        <w:r>
          <w:rPr>
            <w:webHidden/>
          </w:rPr>
          <w:instrText xml:space="preserve"> PAGEREF _Toc185257687 \h </w:instrText>
        </w:r>
        <w:r>
          <w:rPr>
            <w:webHidden/>
          </w:rPr>
        </w:r>
        <w:r>
          <w:rPr>
            <w:webHidden/>
          </w:rPr>
          <w:fldChar w:fldCharType="separate"/>
        </w:r>
        <w:r w:rsidR="006E0D8B">
          <w:rPr>
            <w:webHidden/>
          </w:rPr>
          <w:t>27</w:t>
        </w:r>
        <w:r>
          <w:rPr>
            <w:webHidden/>
          </w:rPr>
          <w:fldChar w:fldCharType="end"/>
        </w:r>
      </w:hyperlink>
    </w:p>
    <w:p w14:paraId="3E827593" w14:textId="77777777" w:rsidR="00C1168E" w:rsidRPr="00DA409F" w:rsidRDefault="00C1168E">
      <w:pPr>
        <w:pStyle w:val="TOC3"/>
        <w:rPr>
          <w:rFonts w:ascii="Calibri" w:hAnsi="Calibri"/>
          <w:kern w:val="2"/>
          <w:sz w:val="22"/>
          <w:szCs w:val="22"/>
          <w:lang w:eastAsia="en-GB"/>
        </w:rPr>
      </w:pPr>
      <w:hyperlink w:anchor="_Toc185257688" w:history="1">
        <w:r w:rsidRPr="00B24548">
          <w:rPr>
            <w:rStyle w:val="Hyperlink"/>
            <w:rFonts w:ascii="Times New Roman Bold" w:hAnsi="Times New Roman Bold"/>
          </w:rPr>
          <w:t>2.3.2.</w:t>
        </w:r>
        <w:r w:rsidRPr="00DA409F">
          <w:rPr>
            <w:rFonts w:ascii="Calibri" w:hAnsi="Calibri"/>
            <w:kern w:val="2"/>
            <w:sz w:val="22"/>
            <w:szCs w:val="22"/>
            <w:lang w:eastAsia="en-GB"/>
          </w:rPr>
          <w:tab/>
        </w:r>
        <w:r w:rsidRPr="00B24548">
          <w:rPr>
            <w:rStyle w:val="Hyperlink"/>
          </w:rPr>
          <w:t>STEP 2: EVALUATION OF THE FULL APPLICATION</w:t>
        </w:r>
        <w:r>
          <w:rPr>
            <w:webHidden/>
          </w:rPr>
          <w:tab/>
        </w:r>
        <w:r>
          <w:rPr>
            <w:webHidden/>
          </w:rPr>
          <w:fldChar w:fldCharType="begin"/>
        </w:r>
        <w:r>
          <w:rPr>
            <w:webHidden/>
          </w:rPr>
          <w:instrText xml:space="preserve"> PAGEREF _Toc185257688 \h </w:instrText>
        </w:r>
        <w:r>
          <w:rPr>
            <w:webHidden/>
          </w:rPr>
        </w:r>
        <w:r>
          <w:rPr>
            <w:webHidden/>
          </w:rPr>
          <w:fldChar w:fldCharType="separate"/>
        </w:r>
        <w:r w:rsidR="006E0D8B">
          <w:rPr>
            <w:webHidden/>
          </w:rPr>
          <w:t>28</w:t>
        </w:r>
        <w:r>
          <w:rPr>
            <w:webHidden/>
          </w:rPr>
          <w:fldChar w:fldCharType="end"/>
        </w:r>
      </w:hyperlink>
    </w:p>
    <w:p w14:paraId="2DE54E77" w14:textId="77777777" w:rsidR="00C1168E" w:rsidRPr="00DA409F" w:rsidRDefault="00C1168E">
      <w:pPr>
        <w:pStyle w:val="TOC3"/>
        <w:rPr>
          <w:rFonts w:ascii="Calibri" w:hAnsi="Calibri"/>
          <w:kern w:val="2"/>
          <w:sz w:val="22"/>
          <w:szCs w:val="22"/>
          <w:lang w:eastAsia="en-GB"/>
        </w:rPr>
      </w:pPr>
      <w:hyperlink w:anchor="_Toc185257689" w:history="1">
        <w:r w:rsidRPr="00B24548">
          <w:rPr>
            <w:rStyle w:val="Hyperlink"/>
            <w:rFonts w:ascii="Times New Roman Bold" w:hAnsi="Times New Roman Bold"/>
          </w:rPr>
          <w:t>2.3.3.</w:t>
        </w:r>
        <w:r w:rsidRPr="00DA409F">
          <w:rPr>
            <w:rFonts w:ascii="Calibri" w:hAnsi="Calibri"/>
            <w:kern w:val="2"/>
            <w:sz w:val="22"/>
            <w:szCs w:val="22"/>
            <w:lang w:eastAsia="en-GB"/>
          </w:rPr>
          <w:tab/>
        </w:r>
        <w:r w:rsidRPr="00B24548">
          <w:rPr>
            <w:rStyle w:val="Hyperlink"/>
          </w:rPr>
          <w:t>STEP 3: VERIFICATION OF ELIGIBILITY OF THE APPLICANTS AND AFFILIATED ENTITY(IES) AND OTHER SUPPORTING DOCUMENTS</w:t>
        </w:r>
        <w:r>
          <w:rPr>
            <w:webHidden/>
          </w:rPr>
          <w:tab/>
        </w:r>
        <w:r>
          <w:rPr>
            <w:webHidden/>
          </w:rPr>
          <w:fldChar w:fldCharType="begin"/>
        </w:r>
        <w:r>
          <w:rPr>
            <w:webHidden/>
          </w:rPr>
          <w:instrText xml:space="preserve"> PAGEREF _Toc185257689 \h </w:instrText>
        </w:r>
        <w:r>
          <w:rPr>
            <w:webHidden/>
          </w:rPr>
        </w:r>
        <w:r>
          <w:rPr>
            <w:webHidden/>
          </w:rPr>
          <w:fldChar w:fldCharType="separate"/>
        </w:r>
        <w:r w:rsidR="006E0D8B">
          <w:rPr>
            <w:webHidden/>
          </w:rPr>
          <w:t>31</w:t>
        </w:r>
        <w:r>
          <w:rPr>
            <w:webHidden/>
          </w:rPr>
          <w:fldChar w:fldCharType="end"/>
        </w:r>
      </w:hyperlink>
    </w:p>
    <w:p w14:paraId="50FFE3CD" w14:textId="77777777" w:rsidR="00C1168E" w:rsidRPr="00DA409F" w:rsidRDefault="00C1168E">
      <w:pPr>
        <w:pStyle w:val="TOC2"/>
        <w:rPr>
          <w:rFonts w:ascii="Calibri" w:hAnsi="Calibri"/>
          <w:noProof/>
          <w:kern w:val="2"/>
          <w:szCs w:val="22"/>
          <w:lang w:eastAsia="en-GB"/>
        </w:rPr>
      </w:pPr>
      <w:hyperlink w:anchor="_Toc185257690" w:history="1">
        <w:r w:rsidRPr="00B24548">
          <w:rPr>
            <w:rStyle w:val="Hyperlink"/>
            <w:noProof/>
          </w:rPr>
          <w:t>2.4.</w:t>
        </w:r>
        <w:r w:rsidRPr="00DA409F">
          <w:rPr>
            <w:rFonts w:ascii="Calibri" w:hAnsi="Calibri"/>
            <w:noProof/>
            <w:kern w:val="2"/>
            <w:szCs w:val="22"/>
            <w:lang w:eastAsia="en-GB"/>
          </w:rPr>
          <w:tab/>
        </w:r>
        <w:r w:rsidRPr="00B24548">
          <w:rPr>
            <w:rStyle w:val="Hyperlink"/>
            <w:noProof/>
          </w:rPr>
          <w:t>Award decision</w:t>
        </w:r>
        <w:r>
          <w:rPr>
            <w:noProof/>
            <w:webHidden/>
          </w:rPr>
          <w:tab/>
        </w:r>
        <w:r>
          <w:rPr>
            <w:noProof/>
            <w:webHidden/>
          </w:rPr>
          <w:fldChar w:fldCharType="begin"/>
        </w:r>
        <w:r>
          <w:rPr>
            <w:noProof/>
            <w:webHidden/>
          </w:rPr>
          <w:instrText xml:space="preserve"> PAGEREF _Toc185257690 \h </w:instrText>
        </w:r>
        <w:r>
          <w:rPr>
            <w:noProof/>
            <w:webHidden/>
          </w:rPr>
        </w:r>
        <w:r>
          <w:rPr>
            <w:noProof/>
            <w:webHidden/>
          </w:rPr>
          <w:fldChar w:fldCharType="separate"/>
        </w:r>
        <w:r w:rsidR="006E0D8B">
          <w:rPr>
            <w:noProof/>
            <w:webHidden/>
          </w:rPr>
          <w:t>31</w:t>
        </w:r>
        <w:r>
          <w:rPr>
            <w:noProof/>
            <w:webHidden/>
          </w:rPr>
          <w:fldChar w:fldCharType="end"/>
        </w:r>
      </w:hyperlink>
    </w:p>
    <w:p w14:paraId="03D30EA3" w14:textId="77777777" w:rsidR="00C1168E" w:rsidRPr="00DA409F" w:rsidRDefault="00C1168E">
      <w:pPr>
        <w:pStyle w:val="TOC2"/>
        <w:rPr>
          <w:rFonts w:ascii="Calibri" w:hAnsi="Calibri"/>
          <w:noProof/>
          <w:kern w:val="2"/>
          <w:szCs w:val="22"/>
          <w:lang w:eastAsia="en-GB"/>
        </w:rPr>
      </w:pPr>
      <w:hyperlink w:anchor="_Toc185257691" w:history="1">
        <w:r w:rsidRPr="00B24548">
          <w:rPr>
            <w:rStyle w:val="Hyperlink"/>
            <w:noProof/>
          </w:rPr>
          <w:t>2.5.</w:t>
        </w:r>
        <w:r w:rsidRPr="00DA409F">
          <w:rPr>
            <w:rFonts w:ascii="Calibri" w:hAnsi="Calibri"/>
            <w:noProof/>
            <w:kern w:val="2"/>
            <w:szCs w:val="22"/>
            <w:lang w:eastAsia="en-GB"/>
          </w:rPr>
          <w:tab/>
        </w:r>
        <w:r w:rsidRPr="00B24548">
          <w:rPr>
            <w:rStyle w:val="Hyperlink"/>
            <w:noProof/>
          </w:rPr>
          <w:t>Notification of the Contracting Authority’s decision</w:t>
        </w:r>
        <w:r>
          <w:rPr>
            <w:noProof/>
            <w:webHidden/>
          </w:rPr>
          <w:tab/>
        </w:r>
        <w:r>
          <w:rPr>
            <w:noProof/>
            <w:webHidden/>
          </w:rPr>
          <w:fldChar w:fldCharType="begin"/>
        </w:r>
        <w:r>
          <w:rPr>
            <w:noProof/>
            <w:webHidden/>
          </w:rPr>
          <w:instrText xml:space="preserve"> PAGEREF _Toc185257691 \h </w:instrText>
        </w:r>
        <w:r>
          <w:rPr>
            <w:noProof/>
            <w:webHidden/>
          </w:rPr>
        </w:r>
        <w:r>
          <w:rPr>
            <w:noProof/>
            <w:webHidden/>
          </w:rPr>
          <w:fldChar w:fldCharType="separate"/>
        </w:r>
        <w:r w:rsidR="006E0D8B">
          <w:rPr>
            <w:noProof/>
            <w:webHidden/>
          </w:rPr>
          <w:t>31</w:t>
        </w:r>
        <w:r>
          <w:rPr>
            <w:noProof/>
            <w:webHidden/>
          </w:rPr>
          <w:fldChar w:fldCharType="end"/>
        </w:r>
      </w:hyperlink>
    </w:p>
    <w:p w14:paraId="52E52A8D" w14:textId="77777777" w:rsidR="00C1168E" w:rsidRPr="00DA409F" w:rsidRDefault="00C1168E">
      <w:pPr>
        <w:pStyle w:val="TOC2"/>
        <w:rPr>
          <w:rFonts w:ascii="Calibri" w:hAnsi="Calibri"/>
          <w:noProof/>
          <w:kern w:val="2"/>
          <w:szCs w:val="22"/>
          <w:lang w:eastAsia="en-GB"/>
        </w:rPr>
      </w:pPr>
      <w:hyperlink w:anchor="_Toc185257692" w:history="1">
        <w:r w:rsidRPr="00B24548">
          <w:rPr>
            <w:rStyle w:val="Hyperlink"/>
            <w:noProof/>
          </w:rPr>
          <w:t>2.6.</w:t>
        </w:r>
        <w:r w:rsidRPr="00DA409F">
          <w:rPr>
            <w:rFonts w:ascii="Calibri" w:hAnsi="Calibri"/>
            <w:noProof/>
            <w:kern w:val="2"/>
            <w:szCs w:val="22"/>
            <w:lang w:eastAsia="en-GB"/>
          </w:rPr>
          <w:tab/>
        </w:r>
        <w:r w:rsidRPr="00B24548">
          <w:rPr>
            <w:rStyle w:val="Hyperlink"/>
            <w:noProof/>
          </w:rPr>
          <w:t>Signature of the grant contract</w:t>
        </w:r>
        <w:r>
          <w:rPr>
            <w:noProof/>
            <w:webHidden/>
          </w:rPr>
          <w:tab/>
        </w:r>
        <w:r>
          <w:rPr>
            <w:noProof/>
            <w:webHidden/>
          </w:rPr>
          <w:fldChar w:fldCharType="begin"/>
        </w:r>
        <w:r>
          <w:rPr>
            <w:noProof/>
            <w:webHidden/>
          </w:rPr>
          <w:instrText xml:space="preserve"> PAGEREF _Toc185257692 \h </w:instrText>
        </w:r>
        <w:r>
          <w:rPr>
            <w:noProof/>
            <w:webHidden/>
          </w:rPr>
        </w:r>
        <w:r>
          <w:rPr>
            <w:noProof/>
            <w:webHidden/>
          </w:rPr>
          <w:fldChar w:fldCharType="separate"/>
        </w:r>
        <w:r w:rsidR="006E0D8B">
          <w:rPr>
            <w:noProof/>
            <w:webHidden/>
          </w:rPr>
          <w:t>32</w:t>
        </w:r>
        <w:r>
          <w:rPr>
            <w:noProof/>
            <w:webHidden/>
          </w:rPr>
          <w:fldChar w:fldCharType="end"/>
        </w:r>
      </w:hyperlink>
    </w:p>
    <w:p w14:paraId="3C9E4AED" w14:textId="77777777" w:rsidR="00C1168E" w:rsidRPr="00DA409F" w:rsidRDefault="00C1168E">
      <w:pPr>
        <w:pStyle w:val="TOC2"/>
        <w:rPr>
          <w:rFonts w:ascii="Calibri" w:hAnsi="Calibri"/>
          <w:noProof/>
          <w:kern w:val="2"/>
          <w:szCs w:val="22"/>
          <w:lang w:eastAsia="en-GB"/>
        </w:rPr>
      </w:pPr>
      <w:hyperlink w:anchor="_Toc185257693" w:history="1">
        <w:r w:rsidRPr="00B24548">
          <w:rPr>
            <w:rStyle w:val="Hyperlink"/>
            <w:noProof/>
          </w:rPr>
          <w:t>2.7.</w:t>
        </w:r>
        <w:r w:rsidRPr="00DA409F">
          <w:rPr>
            <w:rFonts w:ascii="Calibri" w:hAnsi="Calibri"/>
            <w:noProof/>
            <w:kern w:val="2"/>
            <w:szCs w:val="22"/>
            <w:lang w:eastAsia="en-GB"/>
          </w:rPr>
          <w:tab/>
        </w:r>
        <w:r w:rsidRPr="00B24548">
          <w:rPr>
            <w:rStyle w:val="Hyperlink"/>
            <w:noProof/>
          </w:rPr>
          <w:t>Indicative timetable</w:t>
        </w:r>
        <w:r>
          <w:rPr>
            <w:noProof/>
            <w:webHidden/>
          </w:rPr>
          <w:tab/>
        </w:r>
        <w:r>
          <w:rPr>
            <w:noProof/>
            <w:webHidden/>
          </w:rPr>
          <w:fldChar w:fldCharType="begin"/>
        </w:r>
        <w:r>
          <w:rPr>
            <w:noProof/>
            <w:webHidden/>
          </w:rPr>
          <w:instrText xml:space="preserve"> PAGEREF _Toc185257693 \h </w:instrText>
        </w:r>
        <w:r>
          <w:rPr>
            <w:noProof/>
            <w:webHidden/>
          </w:rPr>
        </w:r>
        <w:r>
          <w:rPr>
            <w:noProof/>
            <w:webHidden/>
          </w:rPr>
          <w:fldChar w:fldCharType="separate"/>
        </w:r>
        <w:r w:rsidR="006E0D8B">
          <w:rPr>
            <w:noProof/>
            <w:webHidden/>
          </w:rPr>
          <w:t>32</w:t>
        </w:r>
        <w:r>
          <w:rPr>
            <w:noProof/>
            <w:webHidden/>
          </w:rPr>
          <w:fldChar w:fldCharType="end"/>
        </w:r>
      </w:hyperlink>
    </w:p>
    <w:p w14:paraId="1FAD2890" w14:textId="77777777" w:rsidR="00C1168E" w:rsidRPr="00DA409F" w:rsidRDefault="00C1168E">
      <w:pPr>
        <w:pStyle w:val="TOC2"/>
        <w:rPr>
          <w:rFonts w:ascii="Calibri" w:hAnsi="Calibri"/>
          <w:noProof/>
          <w:kern w:val="2"/>
          <w:szCs w:val="22"/>
          <w:lang w:eastAsia="en-GB"/>
        </w:rPr>
      </w:pPr>
      <w:hyperlink w:anchor="_Toc185257694" w:history="1">
        <w:r w:rsidRPr="00B24548">
          <w:rPr>
            <w:rStyle w:val="Hyperlink"/>
            <w:noProof/>
          </w:rPr>
          <w:t>2.8.</w:t>
        </w:r>
        <w:r w:rsidRPr="00DA409F">
          <w:rPr>
            <w:rFonts w:ascii="Calibri" w:hAnsi="Calibri"/>
            <w:noProof/>
            <w:kern w:val="2"/>
            <w:szCs w:val="22"/>
            <w:lang w:eastAsia="en-GB"/>
          </w:rPr>
          <w:tab/>
        </w:r>
        <w:r w:rsidRPr="00B24548">
          <w:rPr>
            <w:rStyle w:val="Hyperlink"/>
            <w:noProof/>
          </w:rPr>
          <w:t>Early detection and exclusion system</w:t>
        </w:r>
        <w:r>
          <w:rPr>
            <w:noProof/>
            <w:webHidden/>
          </w:rPr>
          <w:tab/>
        </w:r>
        <w:r>
          <w:rPr>
            <w:noProof/>
            <w:webHidden/>
          </w:rPr>
          <w:fldChar w:fldCharType="begin"/>
        </w:r>
        <w:r>
          <w:rPr>
            <w:noProof/>
            <w:webHidden/>
          </w:rPr>
          <w:instrText xml:space="preserve"> PAGEREF _Toc185257694 \h </w:instrText>
        </w:r>
        <w:r>
          <w:rPr>
            <w:noProof/>
            <w:webHidden/>
          </w:rPr>
        </w:r>
        <w:r>
          <w:rPr>
            <w:noProof/>
            <w:webHidden/>
          </w:rPr>
          <w:fldChar w:fldCharType="separate"/>
        </w:r>
        <w:r w:rsidR="006E0D8B">
          <w:rPr>
            <w:noProof/>
            <w:webHidden/>
          </w:rPr>
          <w:t>33</w:t>
        </w:r>
        <w:r>
          <w:rPr>
            <w:noProof/>
            <w:webHidden/>
          </w:rPr>
          <w:fldChar w:fldCharType="end"/>
        </w:r>
      </w:hyperlink>
    </w:p>
    <w:p w14:paraId="50F9D435" w14:textId="77777777" w:rsidR="00C1168E" w:rsidRDefault="00C1168E">
      <w:pPr>
        <w:pStyle w:val="TOC1"/>
        <w:rPr>
          <w:rStyle w:val="Hyperlink"/>
          <w:noProof/>
        </w:rPr>
      </w:pPr>
      <w:hyperlink w:anchor="_Toc185257695" w:history="1">
        <w:r w:rsidRPr="00B24548">
          <w:rPr>
            <w:rStyle w:val="Hyperlink"/>
            <w:noProof/>
          </w:rPr>
          <w:t>3.</w:t>
        </w:r>
        <w:r w:rsidRPr="00DA409F">
          <w:rPr>
            <w:rFonts w:ascii="Calibri" w:hAnsi="Calibri"/>
            <w:b w:val="0"/>
            <w:caps w:val="0"/>
            <w:noProof/>
            <w:kern w:val="2"/>
            <w:szCs w:val="22"/>
            <w:lang w:eastAsia="en-GB"/>
          </w:rPr>
          <w:tab/>
        </w:r>
        <w:r w:rsidRPr="00B24548">
          <w:rPr>
            <w:rStyle w:val="Hyperlink"/>
            <w:noProof/>
          </w:rPr>
          <w:t>annexes</w:t>
        </w:r>
        <w:r>
          <w:rPr>
            <w:noProof/>
            <w:webHidden/>
          </w:rPr>
          <w:tab/>
        </w:r>
        <w:r>
          <w:rPr>
            <w:noProof/>
            <w:webHidden/>
          </w:rPr>
          <w:fldChar w:fldCharType="begin"/>
        </w:r>
        <w:r>
          <w:rPr>
            <w:noProof/>
            <w:webHidden/>
          </w:rPr>
          <w:instrText xml:space="preserve"> PAGEREF _Toc185257695 \h </w:instrText>
        </w:r>
        <w:r>
          <w:rPr>
            <w:noProof/>
            <w:webHidden/>
          </w:rPr>
        </w:r>
        <w:r>
          <w:rPr>
            <w:noProof/>
            <w:webHidden/>
          </w:rPr>
          <w:fldChar w:fldCharType="separate"/>
        </w:r>
        <w:r w:rsidR="006E0D8B">
          <w:rPr>
            <w:noProof/>
            <w:webHidden/>
          </w:rPr>
          <w:t>33</w:t>
        </w:r>
        <w:r>
          <w:rPr>
            <w:noProof/>
            <w:webHidden/>
          </w:rPr>
          <w:fldChar w:fldCharType="end"/>
        </w:r>
      </w:hyperlink>
    </w:p>
    <w:p w14:paraId="1B4EE26D" w14:textId="77777777" w:rsidR="00DA409F" w:rsidRPr="00DA409F" w:rsidRDefault="00DA409F" w:rsidP="00DA409F"/>
    <w:p w14:paraId="3C513C06" w14:textId="77777777" w:rsidR="00491F8A" w:rsidRPr="00807DAF" w:rsidRDefault="001417D6" w:rsidP="00495849">
      <w:pPr>
        <w:rPr>
          <w:sz w:val="28"/>
          <w:szCs w:val="28"/>
        </w:rPr>
        <w:sectPr w:rsidR="00491F8A" w:rsidRPr="00807DAF" w:rsidSect="002D4ACD">
          <w:footerReference w:type="default" r:id="rId13"/>
          <w:footerReference w:type="first" r:id="rId14"/>
          <w:pgSz w:w="11906" w:h="16838" w:code="9"/>
          <w:pgMar w:top="1021" w:right="1134" w:bottom="1021" w:left="1134" w:header="567" w:footer="545" w:gutter="0"/>
          <w:cols w:space="708"/>
          <w:titlePg/>
        </w:sectPr>
      </w:pPr>
      <w:r>
        <w:rPr>
          <w:b/>
          <w:caps/>
        </w:rPr>
        <w:fldChar w:fldCharType="end"/>
      </w:r>
    </w:p>
    <w:p w14:paraId="13789683" w14:textId="77777777" w:rsidR="00576A4A" w:rsidRPr="008F411B" w:rsidRDefault="006C2FCE" w:rsidP="00F61F60">
      <w:pPr>
        <w:pStyle w:val="Guidelines1"/>
        <w:numPr>
          <w:ilvl w:val="0"/>
          <w:numId w:val="6"/>
        </w:numPr>
      </w:pPr>
      <w:r>
        <w:rPr>
          <w:noProof/>
        </w:rPr>
        <w:lastRenderedPageBreak/>
        <w:t>EU4CSOs In Ukraine - Call for Proposals 2025</w:t>
      </w:r>
    </w:p>
    <w:p w14:paraId="1432DB63" w14:textId="77777777" w:rsidR="0007408E" w:rsidRPr="00807DAF" w:rsidRDefault="0007408E" w:rsidP="00F61F60">
      <w:pPr>
        <w:pStyle w:val="Guidelines2"/>
        <w:numPr>
          <w:ilvl w:val="1"/>
          <w:numId w:val="6"/>
        </w:numPr>
      </w:pPr>
      <w:bookmarkStart w:id="3" w:name="_Toc185257667"/>
      <w:r w:rsidRPr="00807DAF">
        <w:t>Background</w:t>
      </w:r>
      <w:bookmarkEnd w:id="3"/>
      <w:r w:rsidR="00EB1CF7">
        <w:t>s</w:t>
      </w:r>
    </w:p>
    <w:p w14:paraId="7E17167D" w14:textId="77777777" w:rsidR="006C29F5" w:rsidRPr="006C29F5" w:rsidRDefault="006C29F5" w:rsidP="006C29F5">
      <w:pPr>
        <w:spacing w:after="120" w:line="240" w:lineRule="atLeast"/>
      </w:pPr>
      <w:r w:rsidRPr="006C29F5">
        <w:t>Ukraine, located in Eastern Europe, borders the Black Sea and is adjacent to Poland, Slovakia, Hungary, Romania, Moldova, Belarus, and Russia, covering an area of about 603,550 km². Before Russia's unjustified full-scale military invasion in 2022, Ukraine's population was nearly 41 million, with 70% living in urban areas. Due to the ongoing war of aggression, many have left the country or have been internally displaced. In 2021, Ukraine's economy was recovering from COVID-19, with a GDP growth rate of 3.2%. However, the war caused rapid economic decline, resulting in civilian casualties, infrastructure damage, and economic disruptions.  As of 31 December 2024, the total cost of reconstruction and recovery in Ukraine is $524 billion (€506 billion) over the next decade</w:t>
      </w:r>
      <w:r w:rsidRPr="006C29F5">
        <w:rPr>
          <w:vertAlign w:val="superscript"/>
        </w:rPr>
        <w:footnoteReference w:id="5"/>
      </w:r>
      <w:r w:rsidRPr="006C29F5">
        <w:t xml:space="preserve">, which is approximately 2.8 times the estimated nominal GDP of Ukraine for 2024. </w:t>
      </w:r>
    </w:p>
    <w:p w14:paraId="56C6BC16" w14:textId="77777777" w:rsidR="006C29F5" w:rsidRPr="006C29F5" w:rsidRDefault="006C29F5" w:rsidP="006C29F5">
      <w:pPr>
        <w:spacing w:after="120" w:line="240" w:lineRule="atLeast"/>
      </w:pPr>
      <w:r w:rsidRPr="006C29F5">
        <w:t>Ukraine has pursued its path towards EU membership with rapid speed and determination</w:t>
      </w:r>
      <w:r w:rsidRPr="006C29F5">
        <w:rPr>
          <w:vertAlign w:val="superscript"/>
        </w:rPr>
        <w:footnoteReference w:id="6"/>
      </w:r>
      <w:r w:rsidR="00FA5BA2" w:rsidRPr="00FA5BA2">
        <w:t xml:space="preserve"> </w:t>
      </w:r>
      <w:r w:rsidR="00FA5BA2">
        <w:t>d</w:t>
      </w:r>
      <w:r w:rsidR="00FA5BA2" w:rsidRPr="00FA5BA2">
        <w:t xml:space="preserve">espite </w:t>
      </w:r>
      <w:r w:rsidR="00FA5BA2">
        <w:t xml:space="preserve">of the </w:t>
      </w:r>
      <w:r w:rsidR="00FA5BA2" w:rsidRPr="00FA5BA2">
        <w:t>extreme challenges</w:t>
      </w:r>
      <w:r w:rsidR="00FA5BA2">
        <w:t xml:space="preserve"> caused by war</w:t>
      </w:r>
      <w:r w:rsidRPr="006C29F5">
        <w:t>. Following its application for EU membership in February 2022, Ukraine was granted candidate status in June 2022. Accession negotiations officially commenced with the first Intergovernmental Conference in June 2024.</w:t>
      </w:r>
    </w:p>
    <w:p w14:paraId="212A6971" w14:textId="229E6175" w:rsidR="006C29F5" w:rsidRPr="006C29F5" w:rsidRDefault="006C29F5" w:rsidP="006C29F5">
      <w:pPr>
        <w:spacing w:after="120" w:line="240" w:lineRule="atLeast"/>
      </w:pPr>
      <w:r w:rsidRPr="006C29F5">
        <w:t>The 202</w:t>
      </w:r>
      <w:r w:rsidR="00F60C02">
        <w:t>5</w:t>
      </w:r>
      <w:r w:rsidRPr="006C29F5">
        <w:t xml:space="preserve"> enlargement report on Ukraine</w:t>
      </w:r>
      <w:r w:rsidRPr="006C29F5">
        <w:rPr>
          <w:vertAlign w:val="superscript"/>
        </w:rPr>
        <w:footnoteReference w:id="7"/>
      </w:r>
      <w:r w:rsidRPr="006C29F5">
        <w:t xml:space="preserve"> provides the annual assessment of the European Commission across all relevant sectors</w:t>
      </w:r>
      <w:r w:rsidR="004632F9">
        <w:t xml:space="preserve">. </w:t>
      </w:r>
      <w:r w:rsidR="00F60C02">
        <w:t xml:space="preserve">On many instances the European Commission has praised the </w:t>
      </w:r>
      <w:r w:rsidRPr="006C29F5">
        <w:t>vital role of civil society for Ukraine</w:t>
      </w:r>
      <w:r w:rsidR="00F60C02">
        <w:t xml:space="preserve">’s democratic development and resilience. </w:t>
      </w:r>
      <w:r w:rsidRPr="006C29F5">
        <w:t xml:space="preserve">The enabling environment </w:t>
      </w:r>
      <w:r>
        <w:t xml:space="preserve">for civil society </w:t>
      </w:r>
      <w:r w:rsidRPr="006C29F5">
        <w:t>is assessed as broadly enabling. Ukraine has several strategic documents that foster civil society engagement</w:t>
      </w:r>
      <w:r w:rsidRPr="006C29F5">
        <w:rPr>
          <w:vertAlign w:val="superscript"/>
        </w:rPr>
        <w:footnoteReference w:id="8"/>
      </w:r>
      <w:r w:rsidRPr="006C29F5">
        <w:t xml:space="preserve">. These continued to be implemented in a consultative and transparent process. New legislation </w:t>
      </w:r>
      <w:proofErr w:type="gramStart"/>
      <w:r w:rsidRPr="006C29F5">
        <w:t>in the area of</w:t>
      </w:r>
      <w:proofErr w:type="gramEnd"/>
      <w:r w:rsidRPr="006C29F5">
        <w:t xml:space="preserve"> citizens’ participation in decision making, albeit </w:t>
      </w:r>
      <w:r w:rsidR="00621577">
        <w:t xml:space="preserve">not </w:t>
      </w:r>
      <w:r w:rsidRPr="006C29F5">
        <w:t xml:space="preserve">yet </w:t>
      </w:r>
      <w:r w:rsidR="00621577">
        <w:t>in force</w:t>
      </w:r>
      <w:r w:rsidRPr="006C29F5">
        <w:t>, has the potential of improving public consultation processes and promoting participatory democracy and development. Challenges in the CSO sector related to heavy regulation, especially related to the financial sector and volunteering legislative and policy framework. The Russian war of aggression with all its various consequences poses the biggest overall challenge for the Ukrainian civil society as for the society in general.</w:t>
      </w:r>
    </w:p>
    <w:p w14:paraId="731BD888" w14:textId="77777777" w:rsidR="006C29F5" w:rsidRPr="006C29F5" w:rsidRDefault="006C29F5" w:rsidP="006C29F5">
      <w:pPr>
        <w:spacing w:after="120" w:line="240" w:lineRule="atLeast"/>
      </w:pPr>
      <w:r w:rsidRPr="006C29F5">
        <w:t xml:space="preserve">The important role that the European Commission attributes to civil society in Ukraine is matched by substantial funding. The civil society portfolio of EU interventions Ukraine </w:t>
      </w:r>
      <w:r w:rsidR="00C11DFA">
        <w:t>throughout</w:t>
      </w:r>
      <w:r w:rsidR="00C11DFA" w:rsidRPr="006C29F5">
        <w:t xml:space="preserve"> </w:t>
      </w:r>
      <w:r w:rsidRPr="006C29F5">
        <w:t xml:space="preserve">2024 comprised of 90 grant projects for </w:t>
      </w:r>
      <w:proofErr w:type="gramStart"/>
      <w:r w:rsidRPr="006C29F5">
        <w:t>a</w:t>
      </w:r>
      <w:proofErr w:type="gramEnd"/>
      <w:r w:rsidRPr="006C29F5">
        <w:t xml:space="preserve"> EU contribution of around EUR 150 million. 47 out of these projects managed a Financial Support to Third Parties scheme with subgrants for grassroots organisations and other local beneficiaries. More than 3200 subgrants were awarded through bilateral grant projects for a total EU contrib</w:t>
      </w:r>
      <w:r>
        <w:t>ution of nearly EUR 40 million.</w:t>
      </w:r>
    </w:p>
    <w:p w14:paraId="0E4EDA5C" w14:textId="77777777" w:rsidR="00D50399" w:rsidRDefault="00CE4A3C" w:rsidP="006C29F5">
      <w:pPr>
        <w:spacing w:after="120" w:line="240" w:lineRule="atLeast"/>
      </w:pPr>
      <w:r>
        <w:t xml:space="preserve">The requirements stemming from the enlargement process </w:t>
      </w:r>
      <w:proofErr w:type="gramStart"/>
      <w:r>
        <w:t>with regard to</w:t>
      </w:r>
      <w:proofErr w:type="gramEnd"/>
      <w:r>
        <w:t xml:space="preserve"> the priority areas covered under this call are in detail </w:t>
      </w:r>
      <w:r w:rsidR="004632F9">
        <w:t xml:space="preserve">assessed </w:t>
      </w:r>
      <w:r>
        <w:t>in the already mentioned report.</w:t>
      </w:r>
      <w:r w:rsidR="00D50399">
        <w:rPr>
          <w:rStyle w:val="FootnoteReference"/>
        </w:rPr>
        <w:footnoteReference w:id="9"/>
      </w:r>
      <w:r>
        <w:t xml:space="preserve"> Applicants are encouraged </w:t>
      </w:r>
      <w:r w:rsidR="00D50399">
        <w:t xml:space="preserve">take note and refer to the EC assessment </w:t>
      </w:r>
      <w:proofErr w:type="gramStart"/>
      <w:r w:rsidR="00D50399">
        <w:t>with regard to</w:t>
      </w:r>
      <w:proofErr w:type="gramEnd"/>
      <w:r w:rsidR="00D50399">
        <w:t xml:space="preserve"> the </w:t>
      </w:r>
      <w:r>
        <w:t>specific priorit</w:t>
      </w:r>
      <w:r w:rsidR="00D50399">
        <w:t xml:space="preserve">y areas that they aim to address. </w:t>
      </w:r>
    </w:p>
    <w:p w14:paraId="021BC621" w14:textId="77777777" w:rsidR="006C29F5" w:rsidRPr="006C29F5" w:rsidRDefault="00D50399" w:rsidP="006C29F5">
      <w:pPr>
        <w:spacing w:after="120" w:line="240" w:lineRule="atLeast"/>
      </w:pPr>
      <w:r>
        <w:t>Further, t</w:t>
      </w:r>
      <w:r w:rsidR="00CE4A3C">
        <w:t xml:space="preserve">here are </w:t>
      </w:r>
      <w:proofErr w:type="gramStart"/>
      <w:r w:rsidR="00CE4A3C">
        <w:t>a number of</w:t>
      </w:r>
      <w:proofErr w:type="gramEnd"/>
      <w:r w:rsidR="00CE4A3C">
        <w:t xml:space="preserve"> </w:t>
      </w:r>
      <w:r w:rsidR="004632F9">
        <w:t xml:space="preserve">relevant </w:t>
      </w:r>
      <w:r w:rsidR="00CE4A3C">
        <w:t>EU policies</w:t>
      </w:r>
      <w:r>
        <w:t xml:space="preserve"> </w:t>
      </w:r>
      <w:r w:rsidR="004632F9">
        <w:t>for external action</w:t>
      </w:r>
      <w:r w:rsidR="00CE4A3C">
        <w:t xml:space="preserve">. </w:t>
      </w:r>
      <w:r w:rsidR="006C29F5" w:rsidRPr="006C29F5">
        <w:t xml:space="preserve">The European Commission's commitment for engaging strategically with </w:t>
      </w:r>
      <w:proofErr w:type="spellStart"/>
      <w:r w:rsidR="006C29F5" w:rsidRPr="006C29F5">
        <w:t>CSOs</w:t>
      </w:r>
      <w:proofErr w:type="spellEnd"/>
      <w:r w:rsidR="006C29F5" w:rsidRPr="006C29F5">
        <w:t xml:space="preserve"> is part of its policies on participatory development, better governance, and a rights-based approach. Key policy documents for these commitments include </w:t>
      </w:r>
      <w:r w:rsidR="006C29F5" w:rsidRPr="006C29F5">
        <w:rPr>
          <w:b/>
          <w:bCs/>
        </w:rPr>
        <w:t>the 2012 Communication: "The roots of democracy and sustainable development",</w:t>
      </w:r>
      <w:r w:rsidR="006C29F5" w:rsidRPr="006C29F5">
        <w:t xml:space="preserve"> t</w:t>
      </w:r>
      <w:r w:rsidR="006C29F5" w:rsidRPr="006C29F5">
        <w:rPr>
          <w:b/>
          <w:bCs/>
        </w:rPr>
        <w:t xml:space="preserve">he 2015 Review of the European Neighbourhood Policy, the Better Regulation Agenda, </w:t>
      </w:r>
      <w:r w:rsidR="006C29F5" w:rsidRPr="006C29F5">
        <w:t>as well as the</w:t>
      </w:r>
      <w:r w:rsidR="006C29F5" w:rsidRPr="006C29F5">
        <w:rPr>
          <w:b/>
          <w:bCs/>
        </w:rPr>
        <w:t xml:space="preserve"> 2030 Agenda and the New </w:t>
      </w:r>
      <w:r w:rsidR="006C29F5" w:rsidRPr="006C29F5">
        <w:rPr>
          <w:b/>
          <w:bCs/>
        </w:rPr>
        <w:lastRenderedPageBreak/>
        <w:t>EU Consensus on Development</w:t>
      </w:r>
      <w:r w:rsidR="006C29F5" w:rsidRPr="006C29F5">
        <w:t xml:space="preserve"> – which all highlight the commitments towards stronger and more inclusive partnerships involving civil society for sustainable development.</w:t>
      </w:r>
    </w:p>
    <w:p w14:paraId="7E8C9722" w14:textId="77777777" w:rsidR="006C29F5" w:rsidRDefault="006C29F5" w:rsidP="006C29F5">
      <w:pPr>
        <w:spacing w:after="120" w:line="240" w:lineRule="atLeast"/>
      </w:pPr>
      <w:r w:rsidRPr="006C29F5">
        <w:t xml:space="preserve">The </w:t>
      </w:r>
      <w:r w:rsidRPr="006C29F5">
        <w:rPr>
          <w:b/>
          <w:bCs/>
        </w:rPr>
        <w:t>European Democracy Action Plan of 2020 and the latest Defence of Democracy package</w:t>
      </w:r>
      <w:r w:rsidRPr="006C29F5">
        <w:t>, put forward on 12 December 2023, aim to empower citizens and increase their participation in democratic processes, underlining the importance of civil society engagement in generating informed policy discussions and decision-making. In its coopera</w:t>
      </w:r>
      <w:r w:rsidR="00C11DFA">
        <w:t>tion with enlargement countries,</w:t>
      </w:r>
      <w:r w:rsidRPr="006C29F5">
        <w:rPr>
          <w:vertAlign w:val="superscript"/>
        </w:rPr>
        <w:footnoteReference w:id="10"/>
      </w:r>
      <w:r w:rsidR="00C11DFA">
        <w:t xml:space="preserve"> f</w:t>
      </w:r>
      <w:r w:rsidRPr="006C29F5">
        <w:t xml:space="preserve">ocus of EU policy dialogue and support to civil society is on creating a conducive legal, policy, and financial environment for </w:t>
      </w:r>
      <w:proofErr w:type="spellStart"/>
      <w:r w:rsidRPr="006C29F5">
        <w:t>CSOs</w:t>
      </w:r>
      <w:proofErr w:type="spellEnd"/>
      <w:r w:rsidRPr="006C29F5">
        <w:t>, strengthening their cooperation with public institutions in decision-making processes, and reinforcing</w:t>
      </w:r>
      <w:r w:rsidR="00CE4A3C">
        <w:t xml:space="preserve"> their capacity and resilience.</w:t>
      </w:r>
    </w:p>
    <w:p w14:paraId="728EE791" w14:textId="77777777" w:rsidR="00CE4A3C" w:rsidRPr="00CE4A3C" w:rsidRDefault="00CE4A3C" w:rsidP="00CE4A3C">
      <w:pPr>
        <w:spacing w:after="120" w:line="240" w:lineRule="atLeast"/>
      </w:pPr>
      <w:r w:rsidRPr="00CE4A3C">
        <w:t xml:space="preserve">The </w:t>
      </w:r>
      <w:r w:rsidRPr="00CE4A3C">
        <w:rPr>
          <w:b/>
        </w:rPr>
        <w:t>EU Gender Action Plan III</w:t>
      </w:r>
      <w:r w:rsidRPr="00CE4A3C">
        <w:rPr>
          <w:vertAlign w:val="superscript"/>
        </w:rPr>
        <w:footnoteReference w:id="11"/>
      </w:r>
      <w:r w:rsidRPr="00CE4A3C">
        <w:t xml:space="preserve"> aims at promoting gender equality and women’s empowerment, mainstreaming gender equality and women’s empowerment in all areas of its external action, pursuing a three-pronged approach combining gender mainstreaming, targeted actions and political dialogue. The 2023 Ukraine Country Gender Profile</w:t>
      </w:r>
      <w:r w:rsidRPr="00CE4A3C">
        <w:rPr>
          <w:vertAlign w:val="superscript"/>
        </w:rPr>
        <w:footnoteReference w:id="12"/>
      </w:r>
      <w:r w:rsidRPr="00CE4A3C">
        <w:t xml:space="preserve"> provides a snapshot of gender equality issues in Ukraine as of July 2023. The Country Level Implementation plan</w:t>
      </w:r>
      <w:r w:rsidRPr="00CE4A3C">
        <w:rPr>
          <w:vertAlign w:val="superscript"/>
        </w:rPr>
        <w:footnoteReference w:id="13"/>
      </w:r>
      <w:r w:rsidRPr="00CE4A3C">
        <w:t xml:space="preserve"> for Ukraine outlines key areas for engagement </w:t>
      </w:r>
      <w:proofErr w:type="gramStart"/>
      <w:r w:rsidRPr="00CE4A3C">
        <w:t>in the area of</w:t>
      </w:r>
      <w:proofErr w:type="gramEnd"/>
      <w:r w:rsidRPr="00CE4A3C">
        <w:t xml:space="preserve"> gender equality and women’s empowerment. It summarises achievements in the field of gender equality, as well barriers to equality and gender inequalities that persist, analysing their root causes and suggesting recommendations to address them. </w:t>
      </w:r>
    </w:p>
    <w:p w14:paraId="6F568BF3" w14:textId="77777777" w:rsidR="00CE4A3C" w:rsidRPr="00CE4A3C" w:rsidRDefault="00CE4A3C" w:rsidP="00CE4A3C">
      <w:pPr>
        <w:spacing w:after="120" w:line="240" w:lineRule="atLeast"/>
      </w:pPr>
      <w:r w:rsidRPr="00CE4A3C">
        <w:rPr>
          <w:b/>
        </w:rPr>
        <w:t>Support for media pluralism and freedom of expression</w:t>
      </w:r>
      <w:r w:rsidRPr="00CE4A3C">
        <w:t xml:space="preserve"> are key elements of the acquis of the European Union, which Ukraine </w:t>
      </w:r>
      <w:r w:rsidR="00324CAD">
        <w:t xml:space="preserve">will </w:t>
      </w:r>
      <w:r w:rsidRPr="00CE4A3C">
        <w:t xml:space="preserve">need to fully develop. Supporting independent and pluralistic media and the safety of journalists, fighting disinformation and contributing to a digital sphere that safeguards human rights and democracy, are also priorities of the EU external actions globally, as recalled in the </w:t>
      </w:r>
      <w:r w:rsidRPr="00324CAD">
        <w:rPr>
          <w:b/>
        </w:rPr>
        <w:t>EU Action Plan on Human Rights and Democracy 2020-2027</w:t>
      </w:r>
      <w:r w:rsidRPr="00CE4A3C">
        <w:rPr>
          <w:vertAlign w:val="superscript"/>
        </w:rPr>
        <w:footnoteReference w:id="14"/>
      </w:r>
      <w:r w:rsidRPr="00CE4A3C">
        <w:t>.  The EU places high importance on enhancing the ability of civil society, independent media, and journalists to protect fundamental rights. A crucial part of advancing Ukraine’s European path involves enhancing anti-corruption efforts and reinforcing democratic principles. Local media and investigative journalists play a vital role in supporting these developments by empowering civil society, facilitating communication between communities and government officials, and monitoring public procurement and expenditures to ensure transparency.</w:t>
      </w:r>
    </w:p>
    <w:p w14:paraId="6643E73B" w14:textId="77777777" w:rsidR="006C29F5" w:rsidRDefault="006C29F5" w:rsidP="006C29F5">
      <w:pPr>
        <w:spacing w:after="120" w:line="240" w:lineRule="atLeast"/>
      </w:pPr>
      <w:r w:rsidRPr="006C29F5">
        <w:t xml:space="preserve">Under the </w:t>
      </w:r>
      <w:r w:rsidRPr="006C29F5">
        <w:rPr>
          <w:b/>
          <w:bCs/>
        </w:rPr>
        <w:t>Ukraine Facility regulation</w:t>
      </w:r>
      <w:r w:rsidRPr="006C29F5">
        <w:rPr>
          <w:vertAlign w:val="superscript"/>
        </w:rPr>
        <w:footnoteReference w:id="15"/>
      </w:r>
      <w:r w:rsidRPr="006C29F5">
        <w:t>, the financial instrument for Ukraine, under which this call for proposals, will be financed, civil society is recognized as a crucial stakeholder in the recovery, reconstruction, and modernization of Ukraine. The regulation emphasizes the importance of an inclusive partnership, where civil society organizations (</w:t>
      </w:r>
      <w:proofErr w:type="spellStart"/>
      <w:r w:rsidRPr="006C29F5">
        <w:t>CSOs</w:t>
      </w:r>
      <w:proofErr w:type="spellEnd"/>
      <w:r w:rsidRPr="006C29F5">
        <w:t xml:space="preserve">) are involved. This involvement ensures that activities eligible for funding are reflective of the diverse needs of Ukrainian society. By actively participating in shaping the design and implementation of these activities, </w:t>
      </w:r>
      <w:proofErr w:type="spellStart"/>
      <w:r w:rsidRPr="006C29F5">
        <w:t>CSOs</w:t>
      </w:r>
      <w:proofErr w:type="spellEnd"/>
      <w:r w:rsidRPr="006C29F5">
        <w:t xml:space="preserve"> contribute to fostering a democratic process that values transparency and stakeholder input. Moreover, this engagement is aimed at representing the pluralism of Ukrainian society, </w:t>
      </w:r>
      <w:proofErr w:type="gramStart"/>
      <w:r w:rsidRPr="006C29F5">
        <w:t>taking into account</w:t>
      </w:r>
      <w:proofErr w:type="gramEnd"/>
      <w:r w:rsidRPr="006C29F5">
        <w:t xml:space="preserve"> various communities and ensuring gender inclusivity. In addition to consultative roles, civil society is also expected to be part of the monitoring, scrutiny, and evaluation processes of the Ukraine Plan. The regulation stresses strengthening the capacities of </w:t>
      </w:r>
      <w:proofErr w:type="spellStart"/>
      <w:r w:rsidRPr="006C29F5">
        <w:t>CSOs</w:t>
      </w:r>
      <w:proofErr w:type="spellEnd"/>
      <w:r w:rsidRPr="006C29F5">
        <w:t xml:space="preserve">, enhancing their ability to report irregularities and offer feedback on the Plan's execution. This empowers them to ensure oversight and accountability, which are vital for maintaining transparency. The European Commission also aims to reinforce anti-fraud policies and internal control systems, facilitating a collaborative environment where </w:t>
      </w:r>
      <w:proofErr w:type="spellStart"/>
      <w:r w:rsidRPr="006C29F5">
        <w:t>CSOs</w:t>
      </w:r>
      <w:proofErr w:type="spellEnd"/>
      <w:r w:rsidRPr="006C29F5">
        <w:t xml:space="preserve"> can </w:t>
      </w:r>
      <w:r w:rsidRPr="006C29F5">
        <w:lastRenderedPageBreak/>
        <w:t>contribute effectively to Ukraine’s recovery process, while also preparing the country for potential Union membership through democratic practices and community engagement.</w:t>
      </w:r>
    </w:p>
    <w:p w14:paraId="720E2499" w14:textId="77777777" w:rsidR="0007408E" w:rsidRPr="00807DAF" w:rsidRDefault="0007408E" w:rsidP="00F61F60">
      <w:pPr>
        <w:pStyle w:val="Guidelines2"/>
        <w:numPr>
          <w:ilvl w:val="1"/>
          <w:numId w:val="6"/>
        </w:numPr>
      </w:pPr>
      <w:bookmarkStart w:id="4" w:name="_Toc185257668"/>
      <w:r w:rsidRPr="00807DAF">
        <w:t>Objectives of the programme and priority issues</w:t>
      </w:r>
      <w:bookmarkEnd w:id="4"/>
      <w:r w:rsidRPr="00807DAF">
        <w:t xml:space="preserve"> </w:t>
      </w:r>
    </w:p>
    <w:p w14:paraId="239EE6D0" w14:textId="77777777" w:rsidR="00026D5B" w:rsidRPr="00807DAF" w:rsidRDefault="00026D5B" w:rsidP="00F36C74">
      <w:pPr>
        <w:spacing w:after="120" w:line="240" w:lineRule="atLeast"/>
      </w:pPr>
      <w:r w:rsidRPr="00807DAF">
        <w:t xml:space="preserve">The </w:t>
      </w:r>
      <w:r w:rsidRPr="00807DAF">
        <w:rPr>
          <w:b/>
        </w:rPr>
        <w:t>global objective</w:t>
      </w:r>
      <w:r w:rsidRPr="00807DAF">
        <w:t xml:space="preserve"> of this </w:t>
      </w:r>
      <w:r w:rsidR="002F0314">
        <w:t>c</w:t>
      </w:r>
      <w:r w:rsidRPr="00807DAF">
        <w:t xml:space="preserve">all for </w:t>
      </w:r>
      <w:r w:rsidR="002F0314">
        <w:t>p</w:t>
      </w:r>
      <w:r w:rsidRPr="00807DAF">
        <w:t xml:space="preserve">roposals is </w:t>
      </w:r>
      <w:r w:rsidR="00253D5D" w:rsidRPr="00253D5D">
        <w:t>to involve civil society in Ukraine in building and maintaining a resilient and inclusive democratic country, amid challenges created by the war of the Russian Federation against Ukraine and in the context of Ukraine’s EU accession reforms.</w:t>
      </w:r>
      <w:r w:rsidR="0042366A" w:rsidRPr="0042366A">
        <w:t xml:space="preserve"> </w:t>
      </w:r>
      <w:r w:rsidR="00627E78">
        <w:t xml:space="preserve">Emphasis </w:t>
      </w:r>
      <w:r w:rsidR="000C152D">
        <w:t xml:space="preserve">shall </w:t>
      </w:r>
      <w:r w:rsidR="0042366A">
        <w:t xml:space="preserve">be </w:t>
      </w:r>
      <w:r w:rsidR="00627E78">
        <w:t>on</w:t>
      </w:r>
      <w:r w:rsidR="0042366A">
        <w:t xml:space="preserve"> </w:t>
      </w:r>
      <w:r w:rsidR="000C152D">
        <w:t xml:space="preserve">supporting </w:t>
      </w:r>
      <w:r w:rsidR="0042366A" w:rsidRPr="0042366A">
        <w:t>medium-size</w:t>
      </w:r>
      <w:r w:rsidR="00627E78">
        <w:t>, small</w:t>
      </w:r>
      <w:r w:rsidR="0042366A" w:rsidRPr="0042366A">
        <w:t xml:space="preserve"> and grassroots organisations</w:t>
      </w:r>
      <w:r w:rsidR="00621577">
        <w:t xml:space="preserve">, </w:t>
      </w:r>
      <w:r w:rsidR="00C714FF">
        <w:t>including</w:t>
      </w:r>
      <w:r w:rsidR="00BB39D0">
        <w:t xml:space="preserve"> those with their operational base located </w:t>
      </w:r>
      <w:r w:rsidR="0042366A">
        <w:t>outside the capital city</w:t>
      </w:r>
      <w:r w:rsidR="00621577">
        <w:t xml:space="preserve"> Kyiv</w:t>
      </w:r>
      <w:r w:rsidR="0042366A">
        <w:t>.</w:t>
      </w:r>
    </w:p>
    <w:p w14:paraId="22097C53" w14:textId="77777777" w:rsidR="00026D5B" w:rsidRDefault="00026D5B" w:rsidP="00F36C74">
      <w:pPr>
        <w:spacing w:after="120" w:line="240" w:lineRule="atLeast"/>
      </w:pPr>
      <w:r w:rsidRPr="00807DAF">
        <w:t xml:space="preserve">The </w:t>
      </w:r>
      <w:r w:rsidRPr="00807DAF">
        <w:rPr>
          <w:b/>
        </w:rPr>
        <w:t>specific objective</w:t>
      </w:r>
      <w:r w:rsidR="00627E78">
        <w:rPr>
          <w:b/>
        </w:rPr>
        <w:t xml:space="preserve"> </w:t>
      </w:r>
      <w:r w:rsidRPr="00807DAF">
        <w:t xml:space="preserve">of this </w:t>
      </w:r>
      <w:r w:rsidR="002F0314">
        <w:t>c</w:t>
      </w:r>
      <w:r w:rsidRPr="00807DAF">
        <w:t xml:space="preserve">all for </w:t>
      </w:r>
      <w:r w:rsidR="002F0314">
        <w:t>p</w:t>
      </w:r>
      <w:r w:rsidRPr="00807DAF">
        <w:t>roposals is</w:t>
      </w:r>
      <w:r w:rsidR="00450369" w:rsidRPr="00807DAF">
        <w:t xml:space="preserve"> </w:t>
      </w:r>
      <w:r w:rsidR="00253D5D" w:rsidRPr="00253D5D">
        <w:t xml:space="preserve">to support partnerships among </w:t>
      </w:r>
      <w:proofErr w:type="spellStart"/>
      <w:r w:rsidR="00253D5D" w:rsidRPr="00253D5D">
        <w:t>CSOs</w:t>
      </w:r>
      <w:proofErr w:type="spellEnd"/>
      <w:r w:rsidR="00253D5D" w:rsidRPr="00253D5D">
        <w:t xml:space="preserve"> in selected priority areas </w:t>
      </w:r>
      <w:r w:rsidR="00BB39D0">
        <w:t xml:space="preserve">that allow to </w:t>
      </w:r>
      <w:r w:rsidR="00253D5D" w:rsidRPr="00253D5D">
        <w:t xml:space="preserve">capacitate organisations to jointly engage in the implementation and monitoring of reforms, </w:t>
      </w:r>
      <w:r w:rsidR="00BB39D0">
        <w:t xml:space="preserve">to </w:t>
      </w:r>
      <w:r w:rsidR="00253D5D" w:rsidRPr="00253D5D">
        <w:t xml:space="preserve">contribute to policy and decision making, </w:t>
      </w:r>
      <w:r w:rsidR="00BB39D0">
        <w:t xml:space="preserve">to </w:t>
      </w:r>
      <w:r w:rsidR="00253D5D" w:rsidRPr="00253D5D">
        <w:t xml:space="preserve">cooperate with public authorities and support delivery of essential services, </w:t>
      </w:r>
      <w:r w:rsidR="00BB39D0">
        <w:t xml:space="preserve">to </w:t>
      </w:r>
      <w:r w:rsidR="00253D5D" w:rsidRPr="00253D5D">
        <w:t xml:space="preserve">strengthen local and grass-roots organisations, promote citizens participation and </w:t>
      </w:r>
      <w:r w:rsidR="00C714FF">
        <w:t>democratic processes,</w:t>
      </w:r>
      <w:r w:rsidR="00BB39D0">
        <w:t xml:space="preserve"> and to</w:t>
      </w:r>
      <w:r w:rsidR="00253D5D" w:rsidRPr="00253D5D">
        <w:t xml:space="preserve"> ensuring fair and equal development that leaves nobody behind.</w:t>
      </w:r>
      <w:r w:rsidRPr="00807DAF">
        <w:t xml:space="preserve"> </w:t>
      </w:r>
    </w:p>
    <w:p w14:paraId="60F34FEC" w14:textId="77777777" w:rsidR="00CC078B" w:rsidRDefault="00C714FF" w:rsidP="00F36C74">
      <w:pPr>
        <w:spacing w:after="120" w:line="240" w:lineRule="atLeast"/>
      </w:pPr>
      <w:r>
        <w:t xml:space="preserve">In this call for proposals </w:t>
      </w:r>
      <w:r w:rsidRPr="00C714FF">
        <w:rPr>
          <w:b/>
          <w:bCs/>
        </w:rPr>
        <w:t>support to third parties through the inclusion of sub-granting schemes</w:t>
      </w:r>
      <w:r>
        <w:t xml:space="preserve"> is obligatory.  </w:t>
      </w:r>
    </w:p>
    <w:p w14:paraId="714DED6B" w14:textId="77777777" w:rsidR="00CC078B" w:rsidRPr="00CC078B" w:rsidRDefault="00CC078B" w:rsidP="00CC078B">
      <w:pPr>
        <w:spacing w:after="120" w:line="240" w:lineRule="atLeast"/>
      </w:pPr>
      <w:r w:rsidRPr="00CC078B">
        <w:t xml:space="preserve">This </w:t>
      </w:r>
      <w:r w:rsidRPr="00C714FF">
        <w:t>call for proposals</w:t>
      </w:r>
      <w:r w:rsidRPr="00CC078B">
        <w:t xml:space="preserve"> is </w:t>
      </w:r>
      <w:r w:rsidRPr="00C714FF">
        <w:rPr>
          <w:b/>
          <w:bCs/>
        </w:rPr>
        <w:t>divided into five lots</w:t>
      </w:r>
      <w:r w:rsidRPr="00CC078B">
        <w:t xml:space="preserve">, as indicated below. </w:t>
      </w:r>
    </w:p>
    <w:p w14:paraId="1350F924" w14:textId="77777777" w:rsidR="003D572B" w:rsidRPr="003D572B" w:rsidRDefault="003D572B" w:rsidP="003D572B">
      <w:pPr>
        <w:spacing w:after="120" w:line="240" w:lineRule="atLeast"/>
        <w:rPr>
          <w:b/>
        </w:rPr>
      </w:pPr>
      <w:r w:rsidRPr="003D572B">
        <w:rPr>
          <w:b/>
          <w:bCs/>
        </w:rPr>
        <w:t xml:space="preserve">Lot 1 - </w:t>
      </w:r>
      <w:r w:rsidRPr="003D572B">
        <w:rPr>
          <w:b/>
        </w:rPr>
        <w:t xml:space="preserve">Women/ Gender equality </w:t>
      </w:r>
    </w:p>
    <w:p w14:paraId="2472902E" w14:textId="77777777" w:rsidR="003D572B" w:rsidRPr="003D572B" w:rsidRDefault="003D572B" w:rsidP="003D572B">
      <w:pPr>
        <w:spacing w:after="120" w:line="240" w:lineRule="atLeast"/>
      </w:pPr>
      <w:r w:rsidRPr="003D572B">
        <w:rPr>
          <w:b/>
          <w:bCs/>
        </w:rPr>
        <w:t>Priorities include, but are not limited to</w:t>
      </w:r>
      <w:r w:rsidRPr="003D572B">
        <w:t>:</w:t>
      </w:r>
    </w:p>
    <w:p w14:paraId="5A11EDBB" w14:textId="77777777" w:rsidR="003D572B" w:rsidRPr="003D572B" w:rsidRDefault="003D572B" w:rsidP="005A2844">
      <w:pPr>
        <w:spacing w:after="120" w:line="240" w:lineRule="atLeast"/>
        <w:ind w:left="360"/>
      </w:pPr>
      <w:r w:rsidRPr="003D572B">
        <w:t xml:space="preserve">Strengthen the role of civil society organizations and women’s movements in advancing reforms aimed at reducing gender inequality in </w:t>
      </w:r>
      <w:proofErr w:type="gramStart"/>
      <w:r w:rsidRPr="003D572B">
        <w:t>Ukraine;</w:t>
      </w:r>
      <w:proofErr w:type="gramEnd"/>
    </w:p>
    <w:p w14:paraId="7CDA0189" w14:textId="77777777" w:rsidR="003D572B" w:rsidRPr="003D572B" w:rsidRDefault="003D572B" w:rsidP="005A2844">
      <w:pPr>
        <w:spacing w:after="120" w:line="240" w:lineRule="atLeast"/>
        <w:ind w:left="360"/>
      </w:pPr>
      <w:r w:rsidRPr="003D572B">
        <w:t>Combat gender-based violence, conflict-related sexual violence, and other severe human rights violations, ensuring accountability and support for survivors.</w:t>
      </w:r>
    </w:p>
    <w:p w14:paraId="5279E678" w14:textId="77777777" w:rsidR="003D572B" w:rsidRPr="003D572B" w:rsidRDefault="003D572B" w:rsidP="005A2844">
      <w:pPr>
        <w:spacing w:after="120" w:line="240" w:lineRule="atLeast"/>
        <w:ind w:left="360"/>
      </w:pPr>
      <w:r w:rsidRPr="003D572B">
        <w:t xml:space="preserve">Promote gender equality in the armed forces, supporting women in the military and </w:t>
      </w:r>
      <w:proofErr w:type="gramStart"/>
      <w:r w:rsidRPr="003D572B">
        <w:t>veterans;</w:t>
      </w:r>
      <w:proofErr w:type="gramEnd"/>
    </w:p>
    <w:p w14:paraId="298B739E" w14:textId="77777777" w:rsidR="003D572B" w:rsidRDefault="003D572B" w:rsidP="005A2844">
      <w:pPr>
        <w:spacing w:after="120" w:line="240" w:lineRule="atLeast"/>
        <w:ind w:left="360"/>
      </w:pPr>
      <w:r w:rsidRPr="003D572B">
        <w:t>Promote equal and inclusive participation in political, social, and recovery processes in Ukraine, reduce discrimination against LGBTIQ+ persons, women and girls from national and religious minorities, older women, women and girls with disabilities, and other groups at risk of marginalization.</w:t>
      </w:r>
    </w:p>
    <w:p w14:paraId="42E8EA69" w14:textId="77777777" w:rsidR="003D572B" w:rsidRPr="00A25D94" w:rsidRDefault="006842FD" w:rsidP="003D572B">
      <w:pPr>
        <w:rPr>
          <w:b/>
        </w:rPr>
      </w:pPr>
      <w:r>
        <w:rPr>
          <w:b/>
        </w:rPr>
        <w:t>Lot 2 – Media</w:t>
      </w:r>
    </w:p>
    <w:p w14:paraId="7C759090" w14:textId="77777777" w:rsidR="003D572B" w:rsidRPr="00CF4A0D" w:rsidRDefault="003D572B" w:rsidP="003D572B">
      <w:pPr>
        <w:rPr>
          <w:b/>
        </w:rPr>
      </w:pPr>
      <w:r w:rsidRPr="00CF4A0D">
        <w:rPr>
          <w:b/>
        </w:rPr>
        <w:t>Priorities include</w:t>
      </w:r>
      <w:r>
        <w:rPr>
          <w:b/>
        </w:rPr>
        <w:t>,</w:t>
      </w:r>
      <w:r w:rsidRPr="00CF4A0D">
        <w:rPr>
          <w:b/>
        </w:rPr>
        <w:t xml:space="preserve"> but are not limited to:</w:t>
      </w:r>
    </w:p>
    <w:p w14:paraId="4537DD06" w14:textId="77777777" w:rsidR="00D13B1E" w:rsidRDefault="00D13B1E" w:rsidP="005A2844">
      <w:pPr>
        <w:spacing w:after="160" w:line="259" w:lineRule="auto"/>
        <w:ind w:left="360"/>
        <w:jc w:val="left"/>
      </w:pPr>
      <w:r w:rsidRPr="00D13B1E">
        <w:t>Support self-sustainability of targeted media outlets to operate effectively and independently, both financially and journalistically, with tangible mid-term results</w:t>
      </w:r>
      <w:r>
        <w:t>.</w:t>
      </w:r>
    </w:p>
    <w:p w14:paraId="0B26FAA3" w14:textId="77777777" w:rsidR="003D572B" w:rsidRPr="005A2844" w:rsidRDefault="003D572B" w:rsidP="005A2844">
      <w:pPr>
        <w:spacing w:after="160" w:line="259" w:lineRule="auto"/>
        <w:ind w:left="360"/>
        <w:jc w:val="left"/>
      </w:pPr>
      <w:r w:rsidRPr="005A2844">
        <w:t xml:space="preserve">Support modernisation of Ukrainian media newsrooms (through e.g. new technical solutions, AI tools) </w:t>
      </w:r>
      <w:proofErr w:type="gramStart"/>
      <w:r w:rsidRPr="005A2844">
        <w:t>in order to</w:t>
      </w:r>
      <w:proofErr w:type="gramEnd"/>
      <w:r w:rsidRPr="005A2844">
        <w:t xml:space="preserve"> strengthen their position in the market and </w:t>
      </w:r>
      <w:r w:rsidR="00D13B1E">
        <w:t xml:space="preserve">improve the linkage </w:t>
      </w:r>
      <w:r w:rsidR="003E78E4">
        <w:t>with audiences</w:t>
      </w:r>
      <w:r w:rsidR="00D13B1E">
        <w:t>.</w:t>
      </w:r>
    </w:p>
    <w:p w14:paraId="7169EF51" w14:textId="77777777" w:rsidR="003D572B" w:rsidRPr="005A2844" w:rsidRDefault="003D572B" w:rsidP="005A2844">
      <w:pPr>
        <w:spacing w:after="160" w:line="259" w:lineRule="auto"/>
        <w:ind w:left="360"/>
        <w:jc w:val="left"/>
      </w:pPr>
      <w:r w:rsidRPr="005A2844">
        <w:t xml:space="preserve">Reinforce Ukrainian media trustworthiness and respectability among Ukrainian audiences by increasing Ukrainian journalists’ capacity to explain and inform about developments </w:t>
      </w:r>
      <w:proofErr w:type="gramStart"/>
      <w:r w:rsidRPr="005A2844">
        <w:t>with regard to</w:t>
      </w:r>
      <w:proofErr w:type="gramEnd"/>
      <w:r w:rsidRPr="005A2844">
        <w:t xml:space="preserve"> democr</w:t>
      </w:r>
      <w:r w:rsidR="003E78E4">
        <w:t>atic accountability and reforms</w:t>
      </w:r>
      <w:r w:rsidR="00D13B1E">
        <w:t>.</w:t>
      </w:r>
    </w:p>
    <w:p w14:paraId="125507CE" w14:textId="77777777" w:rsidR="003D572B" w:rsidRPr="003D572B" w:rsidRDefault="003D572B" w:rsidP="003D572B">
      <w:pPr>
        <w:spacing w:after="160" w:line="259" w:lineRule="auto"/>
        <w:jc w:val="left"/>
      </w:pPr>
      <w:r w:rsidRPr="003D572B">
        <w:rPr>
          <w:b/>
          <w:bCs/>
        </w:rPr>
        <w:t>Lot 3 – Human Rights</w:t>
      </w:r>
    </w:p>
    <w:p w14:paraId="6319367C" w14:textId="77777777" w:rsidR="006842FD" w:rsidRPr="006842FD" w:rsidRDefault="003D572B" w:rsidP="006842FD">
      <w:pPr>
        <w:spacing w:after="160" w:line="259" w:lineRule="auto"/>
        <w:jc w:val="left"/>
      </w:pPr>
      <w:r w:rsidRPr="003D572B">
        <w:rPr>
          <w:b/>
          <w:bCs/>
        </w:rPr>
        <w:t>Priorities include, but are not limited to:</w:t>
      </w:r>
    </w:p>
    <w:p w14:paraId="594C2C48" w14:textId="77777777" w:rsidR="003D572B" w:rsidRPr="003D572B" w:rsidRDefault="003D572B" w:rsidP="005A2844">
      <w:pPr>
        <w:spacing w:after="160" w:line="259" w:lineRule="auto"/>
        <w:ind w:left="349"/>
        <w:jc w:val="left"/>
      </w:pPr>
      <w:r w:rsidRPr="003D572B">
        <w:t>Combat human rights violations, ill-treatment, inequality, and all forms of social exclusion in Ukraine, with particular emphasis on supporting groups at risk of multiple discr</w:t>
      </w:r>
      <w:r w:rsidR="003E78E4">
        <w:t>imination and/or disadvantages</w:t>
      </w:r>
    </w:p>
    <w:p w14:paraId="5A4B9BF3" w14:textId="77777777" w:rsidR="003D572B" w:rsidRPr="003D572B" w:rsidRDefault="003D572B" w:rsidP="005A2844">
      <w:pPr>
        <w:spacing w:after="160" w:line="259" w:lineRule="auto"/>
        <w:ind w:left="349"/>
        <w:jc w:val="left"/>
      </w:pPr>
      <w:r w:rsidRPr="003D572B">
        <w:t>Address the negative consequences of Russia’s war against Ukraine, empower survivors of war crimes and people experiencing occupation, advance justice, promote truth-telling and memorialization, and su</w:t>
      </w:r>
      <w:r w:rsidR="003E78E4">
        <w:t>pport the restoration of rights</w:t>
      </w:r>
    </w:p>
    <w:p w14:paraId="21AA924B" w14:textId="77777777" w:rsidR="003D572B" w:rsidRPr="003D572B" w:rsidRDefault="003D572B" w:rsidP="005A2844">
      <w:pPr>
        <w:spacing w:after="160" w:line="259" w:lineRule="auto"/>
        <w:ind w:left="349"/>
        <w:jc w:val="left"/>
      </w:pPr>
      <w:r w:rsidRPr="003D572B">
        <w:t>Strengthen human rights awareness and foster human rights activism, building a culture of respect for human</w:t>
      </w:r>
      <w:r w:rsidR="003E78E4">
        <w:t xml:space="preserve"> dignity, equality, and justice</w:t>
      </w:r>
    </w:p>
    <w:p w14:paraId="4FBAA8A1" w14:textId="77777777" w:rsidR="003D572B" w:rsidRPr="003D572B" w:rsidRDefault="00FC67C3" w:rsidP="003D572B">
      <w:pPr>
        <w:spacing w:after="160" w:line="259" w:lineRule="auto"/>
        <w:jc w:val="left"/>
        <w:rPr>
          <w:b/>
          <w:bCs/>
        </w:rPr>
      </w:pPr>
      <w:r>
        <w:rPr>
          <w:b/>
          <w:bCs/>
        </w:rPr>
        <w:lastRenderedPageBreak/>
        <w:t>Lot 4 – Social Cohesion</w:t>
      </w:r>
    </w:p>
    <w:p w14:paraId="46E418F5" w14:textId="77777777" w:rsidR="003D572B" w:rsidRPr="003D572B" w:rsidRDefault="003D572B" w:rsidP="003D572B">
      <w:pPr>
        <w:spacing w:after="160" w:line="259" w:lineRule="auto"/>
        <w:jc w:val="left"/>
      </w:pPr>
      <w:r w:rsidRPr="003D572B">
        <w:rPr>
          <w:b/>
          <w:bCs/>
        </w:rPr>
        <w:t>Prioriti</w:t>
      </w:r>
      <w:r w:rsidR="006842FD">
        <w:rPr>
          <w:b/>
          <w:bCs/>
        </w:rPr>
        <w:t>es include, but are not limited</w:t>
      </w:r>
      <w:r w:rsidR="001429AD">
        <w:rPr>
          <w:b/>
          <w:bCs/>
        </w:rPr>
        <w:t xml:space="preserve"> to:</w:t>
      </w:r>
    </w:p>
    <w:p w14:paraId="379E3B22" w14:textId="77777777" w:rsidR="003D572B" w:rsidRPr="003D572B" w:rsidRDefault="003D572B" w:rsidP="005A2844">
      <w:pPr>
        <w:spacing w:after="160" w:line="259" w:lineRule="auto"/>
        <w:ind w:left="360"/>
        <w:jc w:val="left"/>
      </w:pPr>
      <w:r w:rsidRPr="003D572B">
        <w:t>To empower civil society organisations, including grassroots organisations, to facilitate the provision of social services to vulnerable and marginalised groups in Ukraine (e.g. IDPs, LGBTIQ+, children, elderly people, persons with disabilities, Roma) and to strengthen the relations between local communities and local authorities with the vulnerable groups in their region, notably by facilitating employment opportunities in coor</w:t>
      </w:r>
      <w:r w:rsidR="003E78E4">
        <w:t>dination with local employers</w:t>
      </w:r>
    </w:p>
    <w:p w14:paraId="4C4F4FCF" w14:textId="77777777" w:rsidR="003D572B" w:rsidRPr="003D572B" w:rsidRDefault="00DF7491" w:rsidP="005A2844">
      <w:pPr>
        <w:spacing w:after="160" w:line="259" w:lineRule="auto"/>
        <w:ind w:left="360"/>
        <w:jc w:val="left"/>
      </w:pPr>
      <w:r>
        <w:t xml:space="preserve">To contribute </w:t>
      </w:r>
      <w:r w:rsidR="003D572B" w:rsidRPr="003D572B">
        <w:t>to building and enhancing the unity of citizens to share a common sense of identity and belonging, and work towards the same na</w:t>
      </w:r>
      <w:r w:rsidR="003E78E4">
        <w:t>tional goals</w:t>
      </w:r>
    </w:p>
    <w:p w14:paraId="19B5847B" w14:textId="77777777" w:rsidR="003D572B" w:rsidRDefault="003D572B" w:rsidP="005A2844">
      <w:pPr>
        <w:spacing w:after="160" w:line="259" w:lineRule="auto"/>
        <w:ind w:left="360"/>
        <w:jc w:val="left"/>
      </w:pPr>
      <w:r w:rsidRPr="003D572B">
        <w:t>T</w:t>
      </w:r>
      <w:r w:rsidR="00DF7491">
        <w:t>o support the reintegration of v</w:t>
      </w:r>
      <w:r w:rsidRPr="003D572B">
        <w:t>eterans through the provision of mental, psychosocial, social and employment, entrepreneurship support</w:t>
      </w:r>
      <w:r w:rsidR="00DF7491">
        <w:t>,</w:t>
      </w:r>
      <w:r w:rsidRPr="003D572B">
        <w:t xml:space="preserve"> ensuring the fair treatment for veteran men and women</w:t>
      </w:r>
      <w:r w:rsidR="00DF7491">
        <w:t>,</w:t>
      </w:r>
      <w:r w:rsidRPr="003D572B">
        <w:t xml:space="preserve"> but al</w:t>
      </w:r>
      <w:r w:rsidR="003E78E4">
        <w:t>so maintaining social cohesion</w:t>
      </w:r>
    </w:p>
    <w:p w14:paraId="41E2BA84" w14:textId="77777777" w:rsidR="003D572B" w:rsidRPr="003D572B" w:rsidRDefault="00FC67C3" w:rsidP="003D572B">
      <w:pPr>
        <w:spacing w:after="160" w:line="259" w:lineRule="auto"/>
        <w:jc w:val="left"/>
      </w:pPr>
      <w:r>
        <w:rPr>
          <w:b/>
          <w:bCs/>
        </w:rPr>
        <w:t>Lot 5 – Youth</w:t>
      </w:r>
    </w:p>
    <w:p w14:paraId="321A3119" w14:textId="77777777" w:rsidR="003D572B" w:rsidRPr="003D572B" w:rsidRDefault="003D572B" w:rsidP="003D572B">
      <w:pPr>
        <w:spacing w:after="160" w:line="259" w:lineRule="auto"/>
        <w:jc w:val="left"/>
        <w:rPr>
          <w:b/>
          <w:bCs/>
        </w:rPr>
      </w:pPr>
      <w:r w:rsidRPr="003D572B">
        <w:rPr>
          <w:b/>
          <w:bCs/>
        </w:rPr>
        <w:t>Priorities i</w:t>
      </w:r>
      <w:r w:rsidR="006842FD">
        <w:rPr>
          <w:b/>
          <w:bCs/>
        </w:rPr>
        <w:t>nclude, but are not limited</w:t>
      </w:r>
      <w:r w:rsidR="001429AD">
        <w:rPr>
          <w:b/>
          <w:bCs/>
        </w:rPr>
        <w:t xml:space="preserve"> to:</w:t>
      </w:r>
    </w:p>
    <w:p w14:paraId="31DA4913" w14:textId="77777777" w:rsidR="003D572B" w:rsidRPr="003D572B" w:rsidRDefault="003D572B" w:rsidP="005A2844">
      <w:pPr>
        <w:spacing w:after="160" w:line="259" w:lineRule="auto"/>
        <w:ind w:left="360"/>
        <w:jc w:val="left"/>
      </w:pPr>
      <w:r w:rsidRPr="003D572B">
        <w:t xml:space="preserve">To strengthen the resilience and integration of youth and develop their skills to work with young </w:t>
      </w:r>
      <w:r w:rsidR="00DF7491">
        <w:t>internally displaced persons (IDPs)</w:t>
      </w:r>
    </w:p>
    <w:p w14:paraId="1E323233" w14:textId="77777777" w:rsidR="003D572B" w:rsidRPr="003D572B" w:rsidRDefault="003D572B" w:rsidP="005A2844">
      <w:pPr>
        <w:spacing w:after="160" w:line="259" w:lineRule="auto"/>
        <w:ind w:left="360"/>
        <w:jc w:val="left"/>
      </w:pPr>
      <w:r w:rsidRPr="003D572B">
        <w:t>To enhance the youth participation in local and nat</w:t>
      </w:r>
      <w:r w:rsidR="00DF7491">
        <w:t>ional policies and develop peer-to-</w:t>
      </w:r>
      <w:r w:rsidRPr="003D572B">
        <w:t xml:space="preserve">peer relations with </w:t>
      </w:r>
      <w:r w:rsidR="00DF7491">
        <w:t>Ukrainian</w:t>
      </w:r>
      <w:r w:rsidR="003E78E4">
        <w:t xml:space="preserve"> youth abroad</w:t>
      </w:r>
    </w:p>
    <w:p w14:paraId="06BC8F45" w14:textId="77777777" w:rsidR="003D572B" w:rsidRPr="003D572B" w:rsidRDefault="003D572B" w:rsidP="005A2844">
      <w:pPr>
        <w:spacing w:after="160" w:line="259" w:lineRule="auto"/>
        <w:ind w:left="360"/>
        <w:jc w:val="left"/>
      </w:pPr>
      <w:r w:rsidRPr="003D572B">
        <w:t xml:space="preserve">To support the youth ecosystem in UA in terms of alignment with the EU </w:t>
      </w:r>
      <w:r>
        <w:t>policies or best practices</w:t>
      </w:r>
      <w:r w:rsidRPr="003D572B">
        <w:t xml:space="preserve"> (e.g. EU Youth Strategy, the Youth Guarantee, the Erasmus+ program </w:t>
      </w:r>
      <w:proofErr w:type="gramStart"/>
      <w:r w:rsidRPr="003D572B">
        <w:t>etc. )</w:t>
      </w:r>
      <w:proofErr w:type="gramEnd"/>
      <w:r w:rsidRPr="003D572B">
        <w:t xml:space="preserve"> and provide institutional and technical support to youth projects and programs strengthening </w:t>
      </w:r>
      <w:r w:rsidR="003E78E4">
        <w:t>the resilience of young people</w:t>
      </w:r>
    </w:p>
    <w:p w14:paraId="0AD0FB26" w14:textId="77777777" w:rsidR="003D572B" w:rsidRPr="003D572B" w:rsidRDefault="003D572B" w:rsidP="005A2844">
      <w:pPr>
        <w:spacing w:after="160" w:line="259" w:lineRule="auto"/>
        <w:ind w:left="360"/>
        <w:jc w:val="left"/>
      </w:pPr>
      <w:r w:rsidRPr="003D572B">
        <w:t>To promote youth activation and engagement with the local communities by enhancing the engagement of youth in sport organisations at a decentralised community</w:t>
      </w:r>
      <w:r w:rsidR="003E78E4">
        <w:t>-based level</w:t>
      </w:r>
    </w:p>
    <w:p w14:paraId="38030183" w14:textId="77777777" w:rsidR="00CC078B" w:rsidRPr="00CC078B" w:rsidRDefault="00CC078B" w:rsidP="00CC078B">
      <w:pPr>
        <w:spacing w:after="120" w:line="240" w:lineRule="atLeast"/>
      </w:pPr>
      <w:r w:rsidRPr="00CC078B">
        <w:t xml:space="preserve">All actions should be gender sensitive and </w:t>
      </w:r>
      <w:proofErr w:type="gramStart"/>
      <w:r w:rsidRPr="00CC078B">
        <w:t>rights-based</w:t>
      </w:r>
      <w:proofErr w:type="gramEnd"/>
      <w:r w:rsidRPr="00CC078B">
        <w:t>. The actions should address crosscutting issues related to gender-equality, environmental practices, inclusion of people with disabilities and minority groups.</w:t>
      </w:r>
    </w:p>
    <w:p w14:paraId="665DC0D3" w14:textId="77777777" w:rsidR="00CC078B" w:rsidRPr="00CC078B" w:rsidRDefault="00CC078B" w:rsidP="00CC078B">
      <w:pPr>
        <w:spacing w:after="120" w:line="240" w:lineRule="atLeast"/>
        <w:rPr>
          <w:b/>
          <w:bCs/>
        </w:rPr>
      </w:pPr>
      <w:r w:rsidRPr="00CC078B">
        <w:rPr>
          <w:rFonts w:ascii="Segoe UI Symbol" w:hAnsi="Segoe UI Symbol" w:cs="Segoe UI Symbol"/>
        </w:rPr>
        <w:t>➢</w:t>
      </w:r>
      <w:r w:rsidRPr="00CC078B">
        <w:t xml:space="preserve"> </w:t>
      </w:r>
      <w:r w:rsidRPr="00CC078B">
        <w:rPr>
          <w:b/>
          <w:bCs/>
        </w:rPr>
        <w:t>Rights-based approach (RBA)</w:t>
      </w:r>
    </w:p>
    <w:p w14:paraId="35BB4E5F" w14:textId="77777777" w:rsidR="0042366A" w:rsidRDefault="00BA548A" w:rsidP="00CC078B">
      <w:pPr>
        <w:spacing w:after="120" w:line="240" w:lineRule="atLeast"/>
      </w:pPr>
      <w:r>
        <w:t>P</w:t>
      </w:r>
      <w:r w:rsidR="00CC078B" w:rsidRPr="00CC078B">
        <w:t xml:space="preserve">roposals </w:t>
      </w:r>
      <w:r w:rsidR="00F5003A">
        <w:t>under</w:t>
      </w:r>
      <w:r w:rsidR="00CC078B" w:rsidRPr="00CC078B">
        <w:t xml:space="preserve"> this call for proposals shall be designed according to </w:t>
      </w:r>
      <w:r>
        <w:t>the</w:t>
      </w:r>
      <w:r w:rsidR="00CC078B" w:rsidRPr="00CC078B">
        <w:t xml:space="preserve"> </w:t>
      </w:r>
      <w:r w:rsidRPr="00CC078B">
        <w:t>human rights-based approach (</w:t>
      </w:r>
      <w:proofErr w:type="spellStart"/>
      <w:r w:rsidRPr="00CC078B">
        <w:t>HRBA</w:t>
      </w:r>
      <w:proofErr w:type="spellEnd"/>
      <w:r w:rsidRPr="00CC078B">
        <w:t>)</w:t>
      </w:r>
      <w:r w:rsidRPr="00CC078B">
        <w:rPr>
          <w:vertAlign w:val="superscript"/>
        </w:rPr>
        <w:footnoteReference w:id="16"/>
      </w:r>
      <w:r w:rsidR="00CC078B" w:rsidRPr="00CC078B">
        <w:t xml:space="preserve">. Please note that this aspect will be assessed at both the concept </w:t>
      </w:r>
      <w:r w:rsidR="00F5003A">
        <w:t xml:space="preserve">note (evaluation grid, section </w:t>
      </w:r>
      <w:r w:rsidR="0042366A">
        <w:t xml:space="preserve">relevance </w:t>
      </w:r>
      <w:r w:rsidR="00F5003A">
        <w:t>1.1)</w:t>
      </w:r>
      <w:r w:rsidR="001429AD">
        <w:t xml:space="preserve"> </w:t>
      </w:r>
      <w:r w:rsidR="00F5003A">
        <w:t>and full application phase</w:t>
      </w:r>
      <w:r w:rsidR="0042366A">
        <w:t xml:space="preserve"> (evaluation grid section relevance 2.1)</w:t>
      </w:r>
      <w:r w:rsidR="00CC078B" w:rsidRPr="00CC078B">
        <w:t>.</w:t>
      </w:r>
      <w:r>
        <w:t xml:space="preserve"> </w:t>
      </w:r>
    </w:p>
    <w:p w14:paraId="6DBA65AE" w14:textId="77777777" w:rsidR="00CC078B" w:rsidRPr="00CC078B" w:rsidRDefault="00CC078B" w:rsidP="00CC078B">
      <w:pPr>
        <w:spacing w:after="120" w:line="240" w:lineRule="atLeast"/>
      </w:pPr>
      <w:r w:rsidRPr="00CC078B">
        <w:t>Th</w:t>
      </w:r>
      <w:r w:rsidR="0042366A">
        <w:t xml:space="preserve">e </w:t>
      </w:r>
      <w:r w:rsidR="0042366A" w:rsidRPr="00CC078B">
        <w:t xml:space="preserve">rights-based approach </w:t>
      </w:r>
      <w:r w:rsidRPr="00CC078B">
        <w:t xml:space="preserve">implies that target groups are considered as ‘rights-holders’ with legal entitlements, and government institutions are not mere service providers but ‘duty-bearers,’ who are under an obligation to deliver on people’s human rights. In line with a Rights-Based Approach, development cooperation should contribute to the development of the capacities of ‘rights-holders’ to claim their rights and ‘duty-bearers’ to meet their obligations. Programmes and projects therefore need to assess the capacities of rights-holders and duty-bearers and develop the appropriate strategies to build these capacities. At the heart of the </w:t>
      </w:r>
      <w:r w:rsidR="00BA548A">
        <w:t>approach</w:t>
      </w:r>
      <w:r w:rsidRPr="00CC078B">
        <w:t xml:space="preserve"> is the recognition that unequal power relations and social exclusion deny people their human rights and often keep them in poverty. The approach therefore puts strong emphasis on marginalised, disadvantaged, and excluded groups.</w:t>
      </w:r>
    </w:p>
    <w:p w14:paraId="22DBB5E1" w14:textId="77777777" w:rsidR="00CC078B" w:rsidRPr="00CC078B" w:rsidRDefault="00CC078B" w:rsidP="00CC078B">
      <w:pPr>
        <w:spacing w:after="120" w:line="240" w:lineRule="atLeast"/>
      </w:pPr>
      <w:r w:rsidRPr="00CC078B">
        <w:t xml:space="preserve">The </w:t>
      </w:r>
      <w:proofErr w:type="spellStart"/>
      <w:r w:rsidRPr="00CC078B">
        <w:t>HRBA</w:t>
      </w:r>
      <w:proofErr w:type="spellEnd"/>
      <w:r w:rsidRPr="00CC078B">
        <w:t xml:space="preserve"> methodology also reminds us that development projects can have unintended negative impact in terms of human rights such as disadvantaging certain groups, interfering with participation rights and labour rights or contributing to forced displacement. It is therefore important to abide by the 'do no harm' principle and carry out the required analysis and mitigation.</w:t>
      </w:r>
      <w:r w:rsidR="00BA548A">
        <w:t xml:space="preserve"> </w:t>
      </w:r>
      <w:r w:rsidRPr="00CC078B">
        <w:t xml:space="preserve">Moreover, </w:t>
      </w:r>
      <w:r w:rsidR="00BA548A">
        <w:t xml:space="preserve">the </w:t>
      </w:r>
      <w:r w:rsidRPr="00CC078B">
        <w:t>working methodology recognises that pursuing desired human rights outcomes is not</w:t>
      </w:r>
      <w:proofErr w:type="gramStart"/>
      <w:r w:rsidRPr="00CC078B">
        <w:t>, in itself, enough</w:t>
      </w:r>
      <w:proofErr w:type="gramEnd"/>
      <w:r w:rsidRPr="00CC078B">
        <w:t>. The way these outcomes are achieved is equally important. Programmes therefore monitor and evaluate both outcomes and processes.</w:t>
      </w:r>
    </w:p>
    <w:p w14:paraId="61DD4158" w14:textId="77777777" w:rsidR="00CC078B" w:rsidRPr="00CC078B" w:rsidRDefault="00CC078B" w:rsidP="00CC078B">
      <w:pPr>
        <w:spacing w:after="120" w:line="240" w:lineRule="atLeast"/>
      </w:pPr>
      <w:r w:rsidRPr="00CC078B">
        <w:lastRenderedPageBreak/>
        <w:t xml:space="preserve">The five working principles of the human </w:t>
      </w:r>
      <w:proofErr w:type="gramStart"/>
      <w:r w:rsidRPr="00CC078B">
        <w:t>rights based</w:t>
      </w:r>
      <w:proofErr w:type="gramEnd"/>
      <w:r w:rsidRPr="00CC078B">
        <w:t xml:space="preserve"> approach (applying all human rights for all, meaningful and inclusive participation and access to decision-making, non-discrimination and accountability and rule of law for all and transparency and access to information), should be implemented as appropriate</w:t>
      </w:r>
      <w:r w:rsidR="00BA548A">
        <w:t xml:space="preserve"> and possible</w:t>
      </w:r>
      <w:r w:rsidRPr="00CC078B">
        <w:t xml:space="preserve"> in relation to any proposed project.</w:t>
      </w:r>
    </w:p>
    <w:p w14:paraId="0020A730" w14:textId="77777777" w:rsidR="00CC078B" w:rsidRPr="00CC078B" w:rsidRDefault="00CC078B" w:rsidP="00CC078B">
      <w:pPr>
        <w:spacing w:after="120" w:line="240" w:lineRule="atLeast"/>
        <w:rPr>
          <w:b/>
          <w:bCs/>
        </w:rPr>
      </w:pPr>
      <w:r w:rsidRPr="00CC078B">
        <w:rPr>
          <w:rFonts w:ascii="Segoe UI Symbol" w:hAnsi="Segoe UI Symbol" w:cs="Segoe UI Symbol"/>
        </w:rPr>
        <w:t>➢</w:t>
      </w:r>
      <w:r w:rsidRPr="00CC078B">
        <w:t xml:space="preserve"> </w:t>
      </w:r>
      <w:r w:rsidRPr="00CC078B">
        <w:rPr>
          <w:b/>
          <w:bCs/>
        </w:rPr>
        <w:t>Gender Mainstreaming</w:t>
      </w:r>
    </w:p>
    <w:p w14:paraId="7FBA8439" w14:textId="77777777" w:rsidR="00CC078B" w:rsidRPr="00CC078B" w:rsidRDefault="00CC078B" w:rsidP="00CC078B">
      <w:pPr>
        <w:spacing w:after="120" w:line="240" w:lineRule="atLeast"/>
      </w:pPr>
      <w:r w:rsidRPr="00CC078B">
        <w:t>Gender should be mainstreamed in all proposals. Gender mainstreaming remains the primary means to achieve gender equality. Its purpose is to ensure that all policies and programmes maximise their benefits for all and contribute to stop the perpetuation of inequality. The EU Gender Action Plan III for 2021-2025 (GAP III) calls on making gender equality a crosscutting priority in EU external action. Whenever possible, GAP III gender-sensitive and sex-disaggregated indicators and gender-analyses to inform the design of future actions shall be developed for all target groups. Gender equality constitutes a fundamental human rights principle and a common value of the European Union (EU Treaties, EU Gender Action Plan 2021-2025).</w:t>
      </w:r>
    </w:p>
    <w:p w14:paraId="316F69DB" w14:textId="77777777" w:rsidR="00CC078B" w:rsidRPr="00CC078B" w:rsidRDefault="00CC078B" w:rsidP="00CC078B">
      <w:pPr>
        <w:spacing w:after="120" w:line="240" w:lineRule="atLeast"/>
        <w:rPr>
          <w:b/>
          <w:bCs/>
        </w:rPr>
      </w:pPr>
      <w:r w:rsidRPr="00CC078B">
        <w:rPr>
          <w:rFonts w:ascii="Segoe UI Symbol" w:hAnsi="Segoe UI Symbol" w:cs="Segoe UI Symbol"/>
          <w:b/>
          <w:bCs/>
        </w:rPr>
        <w:t>➢</w:t>
      </w:r>
      <w:r w:rsidRPr="00CC078B">
        <w:rPr>
          <w:b/>
          <w:bCs/>
        </w:rPr>
        <w:t xml:space="preserve"> </w:t>
      </w:r>
      <w:r w:rsidR="0042366A">
        <w:rPr>
          <w:b/>
          <w:bCs/>
        </w:rPr>
        <w:t xml:space="preserve">Monitoring system and </w:t>
      </w:r>
      <w:r w:rsidRPr="00CC078B">
        <w:rPr>
          <w:b/>
          <w:bCs/>
        </w:rPr>
        <w:t>OPSYS/corporate indicators</w:t>
      </w:r>
      <w:r w:rsidRPr="00CC078B">
        <w:rPr>
          <w:b/>
          <w:bCs/>
          <w:vertAlign w:val="superscript"/>
        </w:rPr>
        <w:footnoteReference w:id="17"/>
      </w:r>
    </w:p>
    <w:p w14:paraId="1A3CD50C" w14:textId="77777777" w:rsidR="00CC078B" w:rsidRPr="00CC078B" w:rsidRDefault="00CC078B" w:rsidP="00CC078B">
      <w:pPr>
        <w:spacing w:after="120" w:line="240" w:lineRule="atLeast"/>
      </w:pPr>
      <w:r w:rsidRPr="00CC078B">
        <w:t xml:space="preserve">Applications need to integrate corporate indicators as much as possible, </w:t>
      </w:r>
      <w:proofErr w:type="gramStart"/>
      <w:r w:rsidRPr="00CC078B">
        <w:t>in order to</w:t>
      </w:r>
      <w:proofErr w:type="gramEnd"/>
      <w:r w:rsidRPr="00CC078B">
        <w:t xml:space="preserve"> contribute to the aggregation at programme level. Links below give reference to the systematic use of EU indicators that can be used when preparing logical framework of proposals, mainly:</w:t>
      </w:r>
    </w:p>
    <w:p w14:paraId="2AC5E2B6" w14:textId="77777777" w:rsidR="00CC078B" w:rsidRPr="00CC078B" w:rsidRDefault="00CC078B" w:rsidP="00CC078B">
      <w:pPr>
        <w:spacing w:after="120" w:line="240" w:lineRule="atLeast"/>
      </w:pPr>
      <w:proofErr w:type="spellStart"/>
      <w:r w:rsidRPr="00CC078B">
        <w:t>i</w:t>
      </w:r>
      <w:proofErr w:type="spellEnd"/>
      <w:r w:rsidRPr="00CC078B">
        <w:t>) Global Europe Results Framework indicators</w:t>
      </w:r>
      <w:r w:rsidRPr="00CC078B">
        <w:rPr>
          <w:vertAlign w:val="superscript"/>
        </w:rPr>
        <w:footnoteReference w:id="18"/>
      </w:r>
      <w:r w:rsidRPr="00CC078B">
        <w:t xml:space="preserve"> and</w:t>
      </w:r>
    </w:p>
    <w:p w14:paraId="0497202F" w14:textId="77777777" w:rsidR="00CC078B" w:rsidRPr="00CC078B" w:rsidRDefault="00CC078B" w:rsidP="00CC078B">
      <w:pPr>
        <w:spacing w:after="120" w:line="240" w:lineRule="atLeast"/>
      </w:pPr>
      <w:r w:rsidRPr="00CC078B">
        <w:t>ii) Results chain indicators for Partnerships for Human Development, Peace and Governance, and Gender equality.</w:t>
      </w:r>
    </w:p>
    <w:p w14:paraId="34BA6A2A" w14:textId="77777777" w:rsidR="00B73F3F" w:rsidRPr="00807DAF" w:rsidRDefault="00CC078B" w:rsidP="00F36C74">
      <w:pPr>
        <w:spacing w:after="120" w:line="240" w:lineRule="atLeast"/>
      </w:pPr>
      <w:r w:rsidRPr="00CC078B">
        <w:t xml:space="preserve">Each applicant should propose a robust monitoring system that tracks indicators, allows for communication of data, and that can inform the steering of the </w:t>
      </w:r>
      <w:r w:rsidR="0042366A">
        <w:t>action</w:t>
      </w:r>
      <w:r w:rsidRPr="00CC078B">
        <w:t xml:space="preserve"> (see section 2.1 - implementation approach of the application template). In addition, this element is evaluated in the </w:t>
      </w:r>
      <w:r w:rsidRPr="0042366A">
        <w:rPr>
          <w:b/>
        </w:rPr>
        <w:t>full proposal evaluation grid (question 4.2)</w:t>
      </w:r>
      <w:r w:rsidRPr="00CC078B">
        <w:t>.</w:t>
      </w:r>
    </w:p>
    <w:p w14:paraId="6E87A4D9" w14:textId="77777777" w:rsidR="0007408E" w:rsidRPr="00807DAF" w:rsidRDefault="0007408E" w:rsidP="00F61F60">
      <w:pPr>
        <w:pStyle w:val="Guidelines2"/>
        <w:numPr>
          <w:ilvl w:val="1"/>
          <w:numId w:val="6"/>
        </w:numPr>
      </w:pPr>
      <w:bookmarkStart w:id="5" w:name="_Toc185257669"/>
      <w:r w:rsidRPr="00807DAF">
        <w:t>Financial allocation provided by the contracting authority</w:t>
      </w:r>
      <w:bookmarkEnd w:id="5"/>
    </w:p>
    <w:p w14:paraId="64CBFFA2" w14:textId="77777777" w:rsidR="0007408E" w:rsidRPr="00807DAF" w:rsidRDefault="0007408E" w:rsidP="00F36C74">
      <w:pPr>
        <w:spacing w:after="120" w:line="240" w:lineRule="atLeast"/>
      </w:pPr>
      <w:r w:rsidRPr="00807DAF">
        <w:t xml:space="preserve">The overall indicative amount made available under this </w:t>
      </w:r>
      <w:r w:rsidR="002F0314">
        <w:t>c</w:t>
      </w:r>
      <w:r w:rsidR="001D0C7B" w:rsidRPr="00807DAF">
        <w:t xml:space="preserve">all for </w:t>
      </w:r>
      <w:r w:rsidR="002F0314">
        <w:t>p</w:t>
      </w:r>
      <w:r w:rsidR="001D0C7B" w:rsidRPr="00807DAF">
        <w:t>roposals</w:t>
      </w:r>
      <w:r w:rsidRPr="00807DAF">
        <w:t xml:space="preserve"> is </w:t>
      </w:r>
      <w:r w:rsidR="0006470D" w:rsidRPr="00807DAF">
        <w:t>EUR</w:t>
      </w:r>
      <w:r w:rsidRPr="00807DAF">
        <w:t xml:space="preserve"> </w:t>
      </w:r>
      <w:r w:rsidR="00CC078B">
        <w:t>17 000 000</w:t>
      </w:r>
      <w:r w:rsidR="002F0314">
        <w:t>.</w:t>
      </w:r>
      <w:r w:rsidRPr="00807DAF">
        <w:t xml:space="preserve"> The </w:t>
      </w:r>
      <w:r w:rsidR="00D11783">
        <w:t>c</w:t>
      </w:r>
      <w:r w:rsidRPr="00807DAF">
        <w:t xml:space="preserve">ontracting </w:t>
      </w:r>
      <w:r w:rsidR="00D11783">
        <w:t>a</w:t>
      </w:r>
      <w:r w:rsidRPr="00807DAF">
        <w:t>uthority reserves the right not to award all available funds.</w:t>
      </w:r>
    </w:p>
    <w:p w14:paraId="7C08A101" w14:textId="77777777" w:rsidR="009342AA" w:rsidRPr="009342AA" w:rsidRDefault="009342AA" w:rsidP="009342AA">
      <w:pPr>
        <w:spacing w:after="120" w:line="240" w:lineRule="atLeast"/>
        <w:rPr>
          <w:b/>
          <w:bCs/>
        </w:rPr>
      </w:pPr>
      <w:r w:rsidRPr="009342AA">
        <w:rPr>
          <w:b/>
          <w:bCs/>
        </w:rPr>
        <w:t>Indicative allocation of funds by lot:</w:t>
      </w:r>
    </w:p>
    <w:p w14:paraId="72158C09" w14:textId="77777777" w:rsidR="009342AA" w:rsidRPr="009342AA" w:rsidRDefault="009342AA" w:rsidP="009342AA">
      <w:pPr>
        <w:spacing w:after="120" w:line="240" w:lineRule="atLeast"/>
      </w:pPr>
      <w:r w:rsidRPr="009342AA">
        <w:rPr>
          <w:bCs/>
        </w:rPr>
        <w:t xml:space="preserve">Lot 1 Women/ Gender: </w:t>
      </w:r>
      <w:r>
        <w:t xml:space="preserve">EUR 5 </w:t>
      </w:r>
      <w:r w:rsidRPr="009342AA">
        <w:t>000</w:t>
      </w:r>
      <w:r>
        <w:t xml:space="preserve"> </w:t>
      </w:r>
      <w:r w:rsidRPr="009342AA">
        <w:t>000</w:t>
      </w:r>
    </w:p>
    <w:p w14:paraId="3FAA3792" w14:textId="77777777" w:rsidR="009342AA" w:rsidRPr="009342AA" w:rsidRDefault="009342AA" w:rsidP="009342AA">
      <w:pPr>
        <w:spacing w:after="120" w:line="240" w:lineRule="atLeast"/>
      </w:pPr>
      <w:r w:rsidRPr="009342AA">
        <w:rPr>
          <w:bCs/>
        </w:rPr>
        <w:t xml:space="preserve">Lot 2 Media: </w:t>
      </w:r>
      <w:r>
        <w:t>EUR 3 000 000</w:t>
      </w:r>
    </w:p>
    <w:p w14:paraId="0022B116" w14:textId="77777777" w:rsidR="009342AA" w:rsidRPr="009342AA" w:rsidRDefault="009342AA" w:rsidP="009342AA">
      <w:pPr>
        <w:spacing w:after="120" w:line="240" w:lineRule="atLeast"/>
      </w:pPr>
      <w:r w:rsidRPr="009342AA">
        <w:rPr>
          <w:bCs/>
        </w:rPr>
        <w:t>Lot 3 Human Rights:</w:t>
      </w:r>
      <w:r w:rsidRPr="009342AA">
        <w:t xml:space="preserve"> EUR 3</w:t>
      </w:r>
      <w:r>
        <w:t xml:space="preserve"> </w:t>
      </w:r>
      <w:r w:rsidRPr="009342AA">
        <w:t>000</w:t>
      </w:r>
      <w:r>
        <w:t xml:space="preserve"> </w:t>
      </w:r>
      <w:r w:rsidRPr="009342AA">
        <w:t>000</w:t>
      </w:r>
    </w:p>
    <w:p w14:paraId="4DF052B0" w14:textId="77777777" w:rsidR="009342AA" w:rsidRPr="009342AA" w:rsidRDefault="009342AA" w:rsidP="009342AA">
      <w:pPr>
        <w:spacing w:after="120" w:line="240" w:lineRule="atLeast"/>
      </w:pPr>
      <w:r w:rsidRPr="009342AA">
        <w:rPr>
          <w:bCs/>
        </w:rPr>
        <w:t>Lot 3 Social Cohesion:</w:t>
      </w:r>
      <w:r w:rsidRPr="009342AA">
        <w:t xml:space="preserve"> EUR 3</w:t>
      </w:r>
      <w:r>
        <w:t xml:space="preserve"> </w:t>
      </w:r>
      <w:r w:rsidRPr="009342AA">
        <w:t>000</w:t>
      </w:r>
      <w:r>
        <w:t xml:space="preserve"> </w:t>
      </w:r>
      <w:r w:rsidRPr="009342AA">
        <w:t>000</w:t>
      </w:r>
    </w:p>
    <w:p w14:paraId="17A0FE89" w14:textId="77777777" w:rsidR="009342AA" w:rsidRPr="009342AA" w:rsidRDefault="009342AA" w:rsidP="009342AA">
      <w:pPr>
        <w:spacing w:after="120" w:line="240" w:lineRule="atLeast"/>
      </w:pPr>
      <w:r w:rsidRPr="009342AA">
        <w:rPr>
          <w:bCs/>
        </w:rPr>
        <w:t>Lot 3 Youth:</w:t>
      </w:r>
      <w:r w:rsidRPr="009342AA">
        <w:t xml:space="preserve"> EUR 3</w:t>
      </w:r>
      <w:r>
        <w:t xml:space="preserve"> </w:t>
      </w:r>
      <w:r w:rsidRPr="009342AA">
        <w:t>000</w:t>
      </w:r>
      <w:r>
        <w:t xml:space="preserve"> </w:t>
      </w:r>
      <w:r w:rsidRPr="009342AA">
        <w:t>000</w:t>
      </w:r>
    </w:p>
    <w:p w14:paraId="526A61F1" w14:textId="77777777" w:rsidR="00D220FF" w:rsidRPr="00807DAF" w:rsidRDefault="00D220FF" w:rsidP="00F36C74">
      <w:pPr>
        <w:spacing w:after="120" w:line="240" w:lineRule="atLeast"/>
        <w:rPr>
          <w:b/>
        </w:rPr>
      </w:pPr>
      <w:r w:rsidRPr="00807DAF">
        <w:t>I</w:t>
      </w:r>
      <w:r w:rsidR="00264C31" w:rsidRPr="00807DAF">
        <w:t>f</w:t>
      </w:r>
      <w:r w:rsidRPr="00807DAF">
        <w:t xml:space="preserve"> the </w:t>
      </w:r>
      <w:r w:rsidR="00DC12C9" w:rsidRPr="00807DAF">
        <w:t xml:space="preserve">allocation </w:t>
      </w:r>
      <w:r w:rsidR="00264C31" w:rsidRPr="00807DAF">
        <w:t>indicated</w:t>
      </w:r>
      <w:r w:rsidRPr="00807DAF">
        <w:t xml:space="preserve"> for a specific lot cannot be used due to insufficient quality or number of proposals received, the </w:t>
      </w:r>
      <w:r w:rsidR="00D11783">
        <w:t>c</w:t>
      </w:r>
      <w:r w:rsidR="00E359F9" w:rsidRPr="00807DAF">
        <w:t xml:space="preserve">ontracting </w:t>
      </w:r>
      <w:r w:rsidR="00D11783">
        <w:t>a</w:t>
      </w:r>
      <w:r w:rsidR="00E359F9" w:rsidRPr="00807DAF">
        <w:t>uthority</w:t>
      </w:r>
      <w:r w:rsidRPr="00807DAF">
        <w:t xml:space="preserve"> reserves the right to reallocate the remaining funds to </w:t>
      </w:r>
      <w:r w:rsidR="005D6CAC">
        <w:t>(</w:t>
      </w:r>
      <w:r w:rsidRPr="00807DAF">
        <w:t>an</w:t>
      </w:r>
      <w:r w:rsidR="005D6CAC">
        <w:t>)</w:t>
      </w:r>
      <w:r w:rsidRPr="00807DAF">
        <w:t xml:space="preserve">other </w:t>
      </w:r>
      <w:r w:rsidRPr="00D14F8D">
        <w:t>lot</w:t>
      </w:r>
      <w:r w:rsidR="005D6CAC">
        <w:t>(s)</w:t>
      </w:r>
      <w:r w:rsidRPr="008503BC">
        <w:t>.</w:t>
      </w:r>
    </w:p>
    <w:p w14:paraId="563C434D" w14:textId="77777777" w:rsidR="0007408E" w:rsidRPr="001B7D50" w:rsidRDefault="00A016F9" w:rsidP="00F36C74">
      <w:pPr>
        <w:spacing w:after="120" w:line="240" w:lineRule="atLeast"/>
        <w:rPr>
          <w:b/>
          <w:bCs/>
        </w:rPr>
      </w:pPr>
      <w:r w:rsidRPr="001B7D50">
        <w:rPr>
          <w:b/>
          <w:bCs/>
        </w:rPr>
        <w:t>Size</w:t>
      </w:r>
      <w:r w:rsidR="0007408E" w:rsidRPr="001B7D50">
        <w:rPr>
          <w:b/>
          <w:bCs/>
        </w:rPr>
        <w:t xml:space="preserve"> of grants</w:t>
      </w:r>
    </w:p>
    <w:p w14:paraId="60EEB843" w14:textId="77777777" w:rsidR="0007408E" w:rsidRDefault="0007408E" w:rsidP="00F36C74">
      <w:pPr>
        <w:spacing w:after="120" w:line="240" w:lineRule="atLeast"/>
      </w:pPr>
      <w:r w:rsidRPr="00807DAF">
        <w:t xml:space="preserve">Any grant </w:t>
      </w:r>
      <w:r w:rsidR="00470768" w:rsidRPr="00807DAF">
        <w:t>requested</w:t>
      </w:r>
      <w:r w:rsidRPr="00807DAF">
        <w:t xml:space="preserve"> under this </w:t>
      </w:r>
      <w:r w:rsidR="002F0314">
        <w:t>c</w:t>
      </w:r>
      <w:r w:rsidR="00332780" w:rsidRPr="00807DAF">
        <w:t xml:space="preserve">all for </w:t>
      </w:r>
      <w:r w:rsidR="002F0314">
        <w:t>p</w:t>
      </w:r>
      <w:r w:rsidR="00332780" w:rsidRPr="00807DAF">
        <w:t xml:space="preserve">roposals </w:t>
      </w:r>
      <w:r w:rsidRPr="00807DAF">
        <w:t xml:space="preserve">must </w:t>
      </w:r>
      <w:r w:rsidRPr="00BA6979">
        <w:t>fall between the following</w:t>
      </w:r>
      <w:r w:rsidR="000F62AF" w:rsidRPr="00BA6979">
        <w:t xml:space="preserve"> </w:t>
      </w:r>
      <w:r w:rsidRPr="000B7FE7">
        <w:t>minimum and</w:t>
      </w:r>
      <w:r w:rsidRPr="00BA6979">
        <w:t xml:space="preserve"> maximum amounts</w:t>
      </w:r>
      <w:r w:rsidRPr="00807DAF">
        <w:t>:</w:t>
      </w:r>
    </w:p>
    <w:p w14:paraId="7D06B9E6" w14:textId="77777777" w:rsidR="00AA22F9" w:rsidRDefault="009342AA" w:rsidP="00AA22F9">
      <w:pPr>
        <w:spacing w:after="120" w:line="240" w:lineRule="atLeast"/>
        <w:ind w:left="720"/>
      </w:pPr>
      <w:r w:rsidRPr="009342AA">
        <w:rPr>
          <w:b/>
          <w:bCs/>
        </w:rPr>
        <w:t>Lot 1 Women/ Gender</w:t>
      </w:r>
    </w:p>
    <w:p w14:paraId="0616BAC6" w14:textId="77777777" w:rsidR="00AA22F9" w:rsidRDefault="00AA22F9" w:rsidP="00F61F60">
      <w:pPr>
        <w:numPr>
          <w:ilvl w:val="0"/>
          <w:numId w:val="7"/>
        </w:numPr>
        <w:spacing w:after="120" w:line="240" w:lineRule="atLeast"/>
      </w:pPr>
      <w:r>
        <w:t>M</w:t>
      </w:r>
      <w:r w:rsidR="009342AA">
        <w:t xml:space="preserve">inimum amount: EUR </w:t>
      </w:r>
      <w:r w:rsidR="005F38B4">
        <w:t>2 0</w:t>
      </w:r>
      <w:r w:rsidR="009342AA" w:rsidRPr="009342AA">
        <w:t>00</w:t>
      </w:r>
      <w:r w:rsidR="009342AA">
        <w:t xml:space="preserve"> 000</w:t>
      </w:r>
    </w:p>
    <w:p w14:paraId="3107E81E" w14:textId="77777777" w:rsidR="009342AA" w:rsidRPr="009342AA" w:rsidRDefault="00AA22F9" w:rsidP="00F61F60">
      <w:pPr>
        <w:numPr>
          <w:ilvl w:val="0"/>
          <w:numId w:val="7"/>
        </w:numPr>
        <w:spacing w:after="120" w:line="240" w:lineRule="atLeast"/>
      </w:pPr>
      <w:r>
        <w:t>M</w:t>
      </w:r>
      <w:r w:rsidR="009342AA">
        <w:t xml:space="preserve">aximum amount: EUR </w:t>
      </w:r>
      <w:r w:rsidR="00D13B1E">
        <w:t>2</w:t>
      </w:r>
      <w:r w:rsidR="009342AA">
        <w:t xml:space="preserve"> </w:t>
      </w:r>
      <w:r w:rsidR="00D13B1E">
        <w:t>5</w:t>
      </w:r>
      <w:r w:rsidR="009342AA" w:rsidRPr="009342AA">
        <w:t>00</w:t>
      </w:r>
      <w:r w:rsidR="009342AA">
        <w:t xml:space="preserve"> </w:t>
      </w:r>
      <w:r w:rsidR="009342AA" w:rsidRPr="009342AA">
        <w:t>000</w:t>
      </w:r>
    </w:p>
    <w:p w14:paraId="1760847E" w14:textId="77777777" w:rsidR="00AA22F9" w:rsidRDefault="00AA22F9" w:rsidP="00AA22F9">
      <w:pPr>
        <w:spacing w:after="120" w:line="240" w:lineRule="atLeast"/>
        <w:ind w:left="720"/>
        <w:rPr>
          <w:b/>
          <w:bCs/>
        </w:rPr>
      </w:pPr>
    </w:p>
    <w:p w14:paraId="6CC79516" w14:textId="77777777" w:rsidR="00AA22F9" w:rsidRDefault="009342AA" w:rsidP="00AA22F9">
      <w:pPr>
        <w:spacing w:after="120" w:line="240" w:lineRule="atLeast"/>
        <w:ind w:left="720"/>
      </w:pPr>
      <w:r w:rsidRPr="009342AA">
        <w:rPr>
          <w:b/>
          <w:bCs/>
        </w:rPr>
        <w:lastRenderedPageBreak/>
        <w:t>Lot 2 Media</w:t>
      </w:r>
    </w:p>
    <w:p w14:paraId="3FAF597D" w14:textId="77777777" w:rsidR="00AA22F9" w:rsidRPr="00AA22F9" w:rsidRDefault="00AA22F9" w:rsidP="00F61F60">
      <w:pPr>
        <w:numPr>
          <w:ilvl w:val="0"/>
          <w:numId w:val="7"/>
        </w:numPr>
        <w:spacing w:after="120" w:line="240" w:lineRule="atLeast"/>
      </w:pPr>
      <w:r w:rsidRPr="00AA22F9">
        <w:t>M</w:t>
      </w:r>
      <w:r>
        <w:t>inimum amount: EUR 1</w:t>
      </w:r>
      <w:r w:rsidRPr="00AA22F9">
        <w:t xml:space="preserve"> 000 000</w:t>
      </w:r>
    </w:p>
    <w:p w14:paraId="4508EAD9" w14:textId="77777777" w:rsidR="00AA22F9" w:rsidRPr="00AA22F9" w:rsidRDefault="00AA22F9" w:rsidP="00F61F60">
      <w:pPr>
        <w:numPr>
          <w:ilvl w:val="0"/>
          <w:numId w:val="7"/>
        </w:numPr>
        <w:spacing w:after="120" w:line="240" w:lineRule="atLeast"/>
      </w:pPr>
      <w:r w:rsidRPr="00AA22F9">
        <w:t xml:space="preserve">Maximum amount: EUR </w:t>
      </w:r>
      <w:r w:rsidR="00D13B1E">
        <w:t>1</w:t>
      </w:r>
      <w:r w:rsidRPr="00AA22F9">
        <w:t xml:space="preserve"> </w:t>
      </w:r>
      <w:r w:rsidR="00D13B1E">
        <w:t>5</w:t>
      </w:r>
      <w:r w:rsidRPr="00AA22F9">
        <w:t>00 000</w:t>
      </w:r>
    </w:p>
    <w:p w14:paraId="022669E4" w14:textId="77777777" w:rsidR="00AA22F9" w:rsidRDefault="00AA22F9" w:rsidP="00AA22F9">
      <w:pPr>
        <w:spacing w:after="120" w:line="240" w:lineRule="atLeast"/>
        <w:ind w:left="720"/>
        <w:rPr>
          <w:b/>
          <w:bCs/>
        </w:rPr>
      </w:pPr>
    </w:p>
    <w:p w14:paraId="16B90841" w14:textId="77777777" w:rsidR="00AA22F9" w:rsidRDefault="009342AA" w:rsidP="00AA22F9">
      <w:pPr>
        <w:spacing w:after="120" w:line="240" w:lineRule="atLeast"/>
        <w:ind w:left="720"/>
      </w:pPr>
      <w:r w:rsidRPr="009342AA">
        <w:rPr>
          <w:b/>
          <w:bCs/>
        </w:rPr>
        <w:t>Lot 3 Human Rights</w:t>
      </w:r>
      <w:r w:rsidRPr="009342AA">
        <w:t xml:space="preserve">: </w:t>
      </w:r>
    </w:p>
    <w:p w14:paraId="537E5079" w14:textId="77777777" w:rsidR="00AA22F9" w:rsidRPr="00AA22F9" w:rsidRDefault="00AA22F9" w:rsidP="00F61F60">
      <w:pPr>
        <w:numPr>
          <w:ilvl w:val="0"/>
          <w:numId w:val="7"/>
        </w:numPr>
        <w:spacing w:after="120" w:line="240" w:lineRule="atLeast"/>
      </w:pPr>
      <w:r w:rsidRPr="00AA22F9">
        <w:t>M</w:t>
      </w:r>
      <w:r>
        <w:t>inimum amount: EUR 1</w:t>
      </w:r>
      <w:r w:rsidRPr="00AA22F9">
        <w:t xml:space="preserve"> 000 000</w:t>
      </w:r>
    </w:p>
    <w:p w14:paraId="2FE21EE7" w14:textId="77777777" w:rsidR="00AA22F9" w:rsidRPr="00AA22F9" w:rsidRDefault="00AA22F9" w:rsidP="00F61F60">
      <w:pPr>
        <w:numPr>
          <w:ilvl w:val="0"/>
          <w:numId w:val="7"/>
        </w:numPr>
        <w:spacing w:after="120" w:line="240" w:lineRule="atLeast"/>
      </w:pPr>
      <w:r w:rsidRPr="00AA22F9">
        <w:t xml:space="preserve">Maximum amount: EUR </w:t>
      </w:r>
      <w:r w:rsidR="00D13B1E">
        <w:t>1</w:t>
      </w:r>
      <w:r w:rsidRPr="00AA22F9">
        <w:t xml:space="preserve"> </w:t>
      </w:r>
      <w:r w:rsidR="00D13B1E">
        <w:t>5</w:t>
      </w:r>
      <w:r w:rsidRPr="00AA22F9">
        <w:t>00 000</w:t>
      </w:r>
    </w:p>
    <w:p w14:paraId="10C861CE" w14:textId="77777777" w:rsidR="00AA22F9" w:rsidRPr="00AA22F9" w:rsidRDefault="00AA22F9" w:rsidP="00AA22F9">
      <w:pPr>
        <w:spacing w:after="120" w:line="240" w:lineRule="atLeast"/>
        <w:ind w:left="720"/>
      </w:pPr>
    </w:p>
    <w:p w14:paraId="725CE629" w14:textId="77777777" w:rsidR="00AA22F9" w:rsidRPr="00AA22F9" w:rsidRDefault="009342AA" w:rsidP="00AA22F9">
      <w:pPr>
        <w:spacing w:after="120" w:line="240" w:lineRule="atLeast"/>
        <w:ind w:left="720"/>
      </w:pPr>
      <w:r w:rsidRPr="009342AA">
        <w:rPr>
          <w:b/>
          <w:bCs/>
        </w:rPr>
        <w:t>Lot 4 Social Cohesion</w:t>
      </w:r>
    </w:p>
    <w:p w14:paraId="70F6BA4A" w14:textId="77777777" w:rsidR="00AA22F9" w:rsidRPr="00AA22F9" w:rsidRDefault="00AA22F9" w:rsidP="00F61F60">
      <w:pPr>
        <w:numPr>
          <w:ilvl w:val="0"/>
          <w:numId w:val="7"/>
        </w:numPr>
        <w:spacing w:after="120" w:line="240" w:lineRule="atLeast"/>
      </w:pPr>
      <w:r w:rsidRPr="00AA22F9">
        <w:t>M</w:t>
      </w:r>
      <w:r>
        <w:t>inimum amount: EUR 1</w:t>
      </w:r>
      <w:r w:rsidRPr="00AA22F9">
        <w:t xml:space="preserve"> 000 000</w:t>
      </w:r>
    </w:p>
    <w:p w14:paraId="44558B6A" w14:textId="77777777" w:rsidR="00AA22F9" w:rsidRPr="00AA22F9" w:rsidRDefault="00AA22F9" w:rsidP="00F61F60">
      <w:pPr>
        <w:numPr>
          <w:ilvl w:val="0"/>
          <w:numId w:val="7"/>
        </w:numPr>
        <w:spacing w:after="120" w:line="240" w:lineRule="atLeast"/>
      </w:pPr>
      <w:r w:rsidRPr="00AA22F9">
        <w:t xml:space="preserve">Maximum amount: EUR </w:t>
      </w:r>
      <w:r w:rsidR="00D13B1E">
        <w:t>1</w:t>
      </w:r>
      <w:r w:rsidRPr="00AA22F9">
        <w:t xml:space="preserve"> </w:t>
      </w:r>
      <w:r w:rsidR="00D13B1E">
        <w:t>5</w:t>
      </w:r>
      <w:r w:rsidRPr="00AA22F9">
        <w:t>00 000</w:t>
      </w:r>
    </w:p>
    <w:p w14:paraId="20D235F4" w14:textId="77777777" w:rsidR="00AA22F9" w:rsidRPr="00AA22F9" w:rsidRDefault="00AA22F9" w:rsidP="00AA22F9">
      <w:pPr>
        <w:spacing w:after="120" w:line="240" w:lineRule="atLeast"/>
        <w:ind w:left="720"/>
      </w:pPr>
    </w:p>
    <w:p w14:paraId="3B6CA051" w14:textId="77777777" w:rsidR="00AA22F9" w:rsidRPr="00AA22F9" w:rsidRDefault="009342AA" w:rsidP="00AA22F9">
      <w:pPr>
        <w:spacing w:after="120" w:line="240" w:lineRule="atLeast"/>
        <w:ind w:left="720"/>
      </w:pPr>
      <w:r w:rsidRPr="009342AA">
        <w:rPr>
          <w:b/>
          <w:bCs/>
        </w:rPr>
        <w:t>Lot 5 Youth</w:t>
      </w:r>
    </w:p>
    <w:p w14:paraId="514F12A0" w14:textId="77777777" w:rsidR="00AA22F9" w:rsidRPr="00AA22F9" w:rsidRDefault="00AA22F9" w:rsidP="00F61F60">
      <w:pPr>
        <w:numPr>
          <w:ilvl w:val="0"/>
          <w:numId w:val="7"/>
        </w:numPr>
        <w:spacing w:after="120" w:line="240" w:lineRule="atLeast"/>
      </w:pPr>
      <w:r w:rsidRPr="00AA22F9">
        <w:t>M</w:t>
      </w:r>
      <w:r>
        <w:t>inimum amount: EUR 1</w:t>
      </w:r>
      <w:r w:rsidRPr="00AA22F9">
        <w:t xml:space="preserve"> 000 000</w:t>
      </w:r>
    </w:p>
    <w:p w14:paraId="618A5DBD" w14:textId="77777777" w:rsidR="00AA22F9" w:rsidRPr="00AA22F9" w:rsidRDefault="00AA22F9" w:rsidP="00F61F60">
      <w:pPr>
        <w:numPr>
          <w:ilvl w:val="0"/>
          <w:numId w:val="7"/>
        </w:numPr>
        <w:spacing w:after="120" w:line="240" w:lineRule="atLeast"/>
      </w:pPr>
      <w:r w:rsidRPr="00AA22F9">
        <w:t xml:space="preserve">Maximum amount: EUR </w:t>
      </w:r>
      <w:r w:rsidR="00D13B1E">
        <w:t>1</w:t>
      </w:r>
      <w:r w:rsidRPr="00AA22F9">
        <w:t xml:space="preserve"> </w:t>
      </w:r>
      <w:r w:rsidR="00D13B1E">
        <w:t>5</w:t>
      </w:r>
      <w:r w:rsidRPr="00AA22F9">
        <w:t>00 000</w:t>
      </w:r>
    </w:p>
    <w:p w14:paraId="143AFECB" w14:textId="77777777" w:rsidR="00AA22F9" w:rsidRDefault="00AA22F9" w:rsidP="00F36C74">
      <w:pPr>
        <w:spacing w:after="120" w:line="240" w:lineRule="atLeast"/>
      </w:pPr>
      <w:bookmarkStart w:id="6" w:name="_Hlk163804378"/>
    </w:p>
    <w:p w14:paraId="364D7123" w14:textId="77777777" w:rsidR="00BA00F7" w:rsidRPr="00807DAF" w:rsidRDefault="00BA00F7" w:rsidP="00F36C74">
      <w:pPr>
        <w:spacing w:after="120" w:line="240" w:lineRule="atLeast"/>
      </w:pPr>
      <w:r w:rsidRPr="00807DAF">
        <w:t>Any grant</w:t>
      </w:r>
      <w:bookmarkEnd w:id="6"/>
      <w:r w:rsidR="00AA22F9">
        <w:t xml:space="preserve"> </w:t>
      </w:r>
      <w:r w:rsidR="00470768" w:rsidRPr="00807DAF">
        <w:t>requested</w:t>
      </w:r>
      <w:r w:rsidRPr="00807DAF">
        <w:t xml:space="preserve"> under this </w:t>
      </w:r>
      <w:r w:rsidR="002F0314">
        <w:t>c</w:t>
      </w:r>
      <w:r w:rsidRPr="00807DAF">
        <w:t xml:space="preserve">all for </w:t>
      </w:r>
      <w:r w:rsidR="002F0314">
        <w:t>p</w:t>
      </w:r>
      <w:r w:rsidRPr="00807DAF">
        <w:t xml:space="preserve">roposals must </w:t>
      </w:r>
      <w:r w:rsidR="000B7FE7" w:rsidRPr="00BA6979">
        <w:t xml:space="preserve">not </w:t>
      </w:r>
      <w:r w:rsidRPr="00BA6979">
        <w:t xml:space="preserve">fall between the following </w:t>
      </w:r>
      <w:r w:rsidRPr="000B7FE7">
        <w:t>minimum and</w:t>
      </w:r>
      <w:r w:rsidR="000B7FE7">
        <w:t xml:space="preserve"> </w:t>
      </w:r>
      <w:r w:rsidRPr="00BA6979">
        <w:t>maximum percentages</w:t>
      </w:r>
      <w:r w:rsidRPr="00807DAF">
        <w:t xml:space="preserve"> of total eligible costs of the action</w:t>
      </w:r>
      <w:r w:rsidR="00D57C7A" w:rsidRPr="00807DAF">
        <w:t>:</w:t>
      </w:r>
    </w:p>
    <w:p w14:paraId="53FA18D1" w14:textId="77777777" w:rsidR="000F62AF" w:rsidRPr="00807DAF" w:rsidRDefault="00BA00F7" w:rsidP="00F61F60">
      <w:pPr>
        <w:numPr>
          <w:ilvl w:val="0"/>
          <w:numId w:val="8"/>
        </w:numPr>
        <w:spacing w:after="120" w:line="240" w:lineRule="atLeast"/>
      </w:pPr>
      <w:r w:rsidRPr="008503BC">
        <w:t xml:space="preserve">Minimum percentage: </w:t>
      </w:r>
      <w:r w:rsidR="00AA22F9">
        <w:t>51</w:t>
      </w:r>
      <w:r w:rsidR="00140A0D">
        <w:t xml:space="preserve"> </w:t>
      </w:r>
      <w:r w:rsidR="0007408E" w:rsidRPr="008503BC">
        <w:t>% of the total eligible costs of the action.</w:t>
      </w:r>
    </w:p>
    <w:p w14:paraId="3C96E03E" w14:textId="77777777" w:rsidR="00201E89" w:rsidRDefault="00BA00F7" w:rsidP="00F61F60">
      <w:pPr>
        <w:numPr>
          <w:ilvl w:val="0"/>
          <w:numId w:val="8"/>
        </w:numPr>
        <w:spacing w:after="120" w:line="240" w:lineRule="atLeast"/>
      </w:pPr>
      <w:r w:rsidRPr="00807DAF">
        <w:t xml:space="preserve">Maximum </w:t>
      </w:r>
      <w:r w:rsidR="006E0555" w:rsidRPr="00807DAF">
        <w:t>percentage:</w:t>
      </w:r>
      <w:r w:rsidR="00AA22F9">
        <w:t xml:space="preserve"> 95 </w:t>
      </w:r>
      <w:r w:rsidR="0007408E" w:rsidRPr="00807DAF">
        <w:t xml:space="preserve">% of the total eligible costs of the action (see also </w:t>
      </w:r>
      <w:r w:rsidR="00D11783">
        <w:t>S</w:t>
      </w:r>
      <w:r w:rsidR="00896ECA" w:rsidRPr="00807DAF">
        <w:t>ection</w:t>
      </w:r>
      <w:r w:rsidR="0007408E" w:rsidRPr="00807DAF">
        <w:t xml:space="preserve"> 2.1.</w:t>
      </w:r>
      <w:r w:rsidR="00CB450B">
        <w:t>4</w:t>
      </w:r>
      <w:r w:rsidR="0007408E" w:rsidRPr="00807DAF">
        <w:t>).</w:t>
      </w:r>
      <w:r w:rsidR="00FF4BB3" w:rsidRPr="00807DAF">
        <w:t xml:space="preserve"> </w:t>
      </w:r>
    </w:p>
    <w:p w14:paraId="03258DF5" w14:textId="77777777" w:rsidR="0007408E" w:rsidRPr="00807DAF" w:rsidRDefault="0007408E" w:rsidP="00F36C74">
      <w:pPr>
        <w:tabs>
          <w:tab w:val="num" w:pos="0"/>
        </w:tabs>
        <w:spacing w:after="120" w:line="240" w:lineRule="atLeast"/>
        <w:rPr>
          <w:szCs w:val="22"/>
        </w:rPr>
      </w:pPr>
      <w:r w:rsidRPr="00807DAF">
        <w:rPr>
          <w:szCs w:val="22"/>
        </w:rPr>
        <w:t>The balance</w:t>
      </w:r>
      <w:r w:rsidR="00470768" w:rsidRPr="00807DAF">
        <w:rPr>
          <w:szCs w:val="22"/>
        </w:rPr>
        <w:t xml:space="preserve"> (i.e. the difference between the total cost of the action and the amount requested from the </w:t>
      </w:r>
      <w:r w:rsidR="00D11783">
        <w:rPr>
          <w:szCs w:val="22"/>
        </w:rPr>
        <w:t>c</w:t>
      </w:r>
      <w:r w:rsidR="00470768" w:rsidRPr="00807DAF">
        <w:rPr>
          <w:szCs w:val="22"/>
        </w:rPr>
        <w:t xml:space="preserve">ontracting </w:t>
      </w:r>
      <w:r w:rsidR="00D11783">
        <w:rPr>
          <w:szCs w:val="22"/>
        </w:rPr>
        <w:t>a</w:t>
      </w:r>
      <w:r w:rsidR="00470768" w:rsidRPr="00807DAF">
        <w:rPr>
          <w:szCs w:val="22"/>
        </w:rPr>
        <w:t>uthority)</w:t>
      </w:r>
      <w:r w:rsidRPr="00807DAF">
        <w:rPr>
          <w:szCs w:val="22"/>
        </w:rPr>
        <w:t xml:space="preserve"> must be financed from sources other than the </w:t>
      </w:r>
      <w:r w:rsidR="00D11783">
        <w:rPr>
          <w:szCs w:val="22"/>
        </w:rPr>
        <w:t>general</w:t>
      </w:r>
      <w:r w:rsidR="00D65E10" w:rsidRPr="00807DAF">
        <w:rPr>
          <w:szCs w:val="22"/>
        </w:rPr>
        <w:t xml:space="preserve"> </w:t>
      </w:r>
      <w:r w:rsidR="00D11783">
        <w:rPr>
          <w:szCs w:val="22"/>
        </w:rPr>
        <w:t>b</w:t>
      </w:r>
      <w:r w:rsidRPr="00807DAF">
        <w:rPr>
          <w:szCs w:val="22"/>
        </w:rPr>
        <w:t>udget</w:t>
      </w:r>
      <w:r w:rsidR="00D11783">
        <w:rPr>
          <w:szCs w:val="22"/>
        </w:rPr>
        <w:t xml:space="preserve"> of the Union</w:t>
      </w:r>
      <w:r w:rsidR="007377DD" w:rsidRPr="00807DAF">
        <w:rPr>
          <w:szCs w:val="22"/>
        </w:rPr>
        <w:t xml:space="preserve"> or the European Development Fund</w:t>
      </w:r>
      <w:r w:rsidR="004D357E" w:rsidRPr="00807DAF">
        <w:rPr>
          <w:szCs w:val="22"/>
        </w:rPr>
        <w:t>.</w:t>
      </w:r>
    </w:p>
    <w:p w14:paraId="369A14E7" w14:textId="77777777" w:rsidR="0007408E" w:rsidRPr="00807DAF" w:rsidRDefault="0007408E" w:rsidP="00F61F60">
      <w:pPr>
        <w:pStyle w:val="Guidelines1"/>
        <w:numPr>
          <w:ilvl w:val="0"/>
          <w:numId w:val="6"/>
        </w:numPr>
      </w:pPr>
      <w:bookmarkStart w:id="7" w:name="_Toc185257670"/>
      <w:r w:rsidRPr="00807DAF">
        <w:t xml:space="preserve">Rules </w:t>
      </w:r>
      <w:r w:rsidR="0024146B" w:rsidRPr="00807DAF">
        <w:t xml:space="preserve">FOR </w:t>
      </w:r>
      <w:r w:rsidRPr="00F37259">
        <w:t>thIS</w:t>
      </w:r>
      <w:r w:rsidRPr="00807DAF">
        <w:t xml:space="preserve"> call for proposalS</w:t>
      </w:r>
      <w:bookmarkEnd w:id="7"/>
    </w:p>
    <w:p w14:paraId="5020AA5F" w14:textId="77777777" w:rsidR="0007408E" w:rsidRPr="00807DAF" w:rsidRDefault="0007408E" w:rsidP="00F36C74">
      <w:pPr>
        <w:spacing w:after="120" w:line="240" w:lineRule="atLeast"/>
      </w:pPr>
      <w:r w:rsidRPr="00807DAF">
        <w:t xml:space="preserve">These guidelines set out the rules for </w:t>
      </w:r>
      <w:r w:rsidR="008A6F06" w:rsidRPr="00807DAF">
        <w:t xml:space="preserve">the </w:t>
      </w:r>
      <w:r w:rsidRPr="00807DAF">
        <w:t>submi</w:t>
      </w:r>
      <w:r w:rsidR="008A6F06" w:rsidRPr="00807DAF">
        <w:t>ssion</w:t>
      </w:r>
      <w:r w:rsidRPr="00807DAF">
        <w:t>, selecti</w:t>
      </w:r>
      <w:r w:rsidR="008A6F06" w:rsidRPr="00807DAF">
        <w:t>on</w:t>
      </w:r>
      <w:r w:rsidRPr="00807DAF">
        <w:t xml:space="preserve"> and implement</w:t>
      </w:r>
      <w:r w:rsidR="008A6F06" w:rsidRPr="00807DAF">
        <w:t>ation of</w:t>
      </w:r>
      <w:r w:rsidR="00AA424B" w:rsidRPr="00807DAF">
        <w:t xml:space="preserve"> the</w:t>
      </w:r>
      <w:r w:rsidRPr="00807DAF">
        <w:t xml:space="preserve"> actions financed under th</w:t>
      </w:r>
      <w:r w:rsidR="00E359F9" w:rsidRPr="00807DAF">
        <w:t xml:space="preserve">is </w:t>
      </w:r>
      <w:r w:rsidR="002F0314">
        <w:t>c</w:t>
      </w:r>
      <w:r w:rsidR="00E359F9" w:rsidRPr="00807DAF">
        <w:t>all</w:t>
      </w:r>
      <w:r w:rsidRPr="00807DAF">
        <w:t xml:space="preserve">, in conformity with the </w:t>
      </w:r>
      <w:r w:rsidR="009D7AC9">
        <w:t>p</w:t>
      </w:r>
      <w:r w:rsidRPr="00807DAF">
        <w:t xml:space="preserve">ractical </w:t>
      </w:r>
      <w:r w:rsidR="009D7AC9">
        <w:t>g</w:t>
      </w:r>
      <w:r w:rsidRPr="00807DAF">
        <w:t>uide</w:t>
      </w:r>
      <w:r w:rsidR="009556E4">
        <w:t xml:space="preserve"> (PRAG)</w:t>
      </w:r>
      <w:r w:rsidR="009E6254" w:rsidRPr="00807DAF">
        <w:t>, which is applicable to the present call</w:t>
      </w:r>
      <w:r w:rsidR="001A3FE1" w:rsidRPr="00807DAF">
        <w:t xml:space="preserve"> (</w:t>
      </w:r>
      <w:r w:rsidR="00087373" w:rsidRPr="00807DAF">
        <w:t>a</w:t>
      </w:r>
      <w:r w:rsidR="001A3FE1" w:rsidRPr="00807DAF">
        <w:t xml:space="preserve">vailable on the </w:t>
      </w:r>
      <w:r w:rsidR="00D11783">
        <w:t>i</w:t>
      </w:r>
      <w:r w:rsidR="001A3FE1" w:rsidRPr="00807DAF">
        <w:t>nternet at this address</w:t>
      </w:r>
      <w:r w:rsidR="00176C61" w:rsidRPr="008503BC">
        <w:t xml:space="preserve"> </w:t>
      </w:r>
      <w:hyperlink r:id="rId15" w:history="1">
        <w:r w:rsidR="00F874BB" w:rsidRPr="00556E3A">
          <w:rPr>
            <w:rStyle w:val="Hyperlink"/>
          </w:rPr>
          <w:t>https://wikis.ec.europa.eu/display/ExactExternalWiki/ePRAG</w:t>
        </w:r>
      </w:hyperlink>
      <w:r w:rsidR="00F874BB">
        <w:t xml:space="preserve"> </w:t>
      </w:r>
      <w:r w:rsidR="001A3FE1" w:rsidRPr="00807DAF">
        <w:t>)</w:t>
      </w:r>
      <w:r w:rsidRPr="00807DAF">
        <w:t>.</w:t>
      </w:r>
    </w:p>
    <w:p w14:paraId="1034F128" w14:textId="77777777" w:rsidR="0007408E" w:rsidRPr="00807DAF" w:rsidRDefault="0007408E" w:rsidP="00F61F60">
      <w:pPr>
        <w:pStyle w:val="Guidelines2"/>
        <w:numPr>
          <w:ilvl w:val="1"/>
          <w:numId w:val="6"/>
        </w:numPr>
      </w:pPr>
      <w:bookmarkStart w:id="8" w:name="_Toc185257671"/>
      <w:r w:rsidRPr="00807DAF">
        <w:t>Eligibility criteria</w:t>
      </w:r>
      <w:bookmarkEnd w:id="8"/>
    </w:p>
    <w:p w14:paraId="5A143B8F" w14:textId="77777777" w:rsidR="0007408E" w:rsidRPr="00807DAF" w:rsidRDefault="0007408E" w:rsidP="00F36C74">
      <w:pPr>
        <w:spacing w:after="120" w:line="240" w:lineRule="atLeast"/>
      </w:pPr>
      <w:r w:rsidRPr="00807DAF">
        <w:t>There are three sets of eligibility criteria, relating to:</w:t>
      </w:r>
    </w:p>
    <w:p w14:paraId="553DC759" w14:textId="77777777" w:rsidR="003477DE" w:rsidRPr="00807DAF" w:rsidRDefault="00296A25" w:rsidP="00F61F60">
      <w:pPr>
        <w:numPr>
          <w:ilvl w:val="0"/>
          <w:numId w:val="18"/>
        </w:numPr>
        <w:spacing w:after="120" w:line="240" w:lineRule="atLeast"/>
      </w:pPr>
      <w:r w:rsidRPr="00807DAF">
        <w:t>the actors</w:t>
      </w:r>
      <w:r w:rsidR="00CB450B">
        <w:t xml:space="preserve"> (2.1.1.)</w:t>
      </w:r>
      <w:r w:rsidRPr="00807DAF">
        <w:t>:</w:t>
      </w:r>
    </w:p>
    <w:p w14:paraId="3E157879" w14:textId="77777777" w:rsidR="003477DE" w:rsidRPr="00807DAF" w:rsidRDefault="006A36F9" w:rsidP="00F61F60">
      <w:pPr>
        <w:numPr>
          <w:ilvl w:val="0"/>
          <w:numId w:val="9"/>
        </w:numPr>
        <w:spacing w:after="120" w:line="240" w:lineRule="atLeast"/>
        <w:ind w:left="1134"/>
      </w:pPr>
      <w:r w:rsidRPr="00807DAF">
        <w:t xml:space="preserve">The </w:t>
      </w:r>
      <w:r w:rsidR="00D11783">
        <w:t>‘</w:t>
      </w:r>
      <w:r w:rsidR="00ED0176">
        <w:rPr>
          <w:b/>
        </w:rPr>
        <w:t>lead a</w:t>
      </w:r>
      <w:r w:rsidRPr="00807DAF">
        <w:rPr>
          <w:b/>
        </w:rPr>
        <w:t>pplicant</w:t>
      </w:r>
      <w:r w:rsidR="00D11783">
        <w:rPr>
          <w:b/>
        </w:rPr>
        <w:t>’</w:t>
      </w:r>
      <w:r w:rsidRPr="00807DAF">
        <w:t xml:space="preserve">, </w:t>
      </w:r>
      <w:r w:rsidR="00296A25" w:rsidRPr="00807DAF">
        <w:t xml:space="preserve">i.e. </w:t>
      </w:r>
      <w:r w:rsidR="00A31B91" w:rsidRPr="00807DAF">
        <w:t>the entity</w:t>
      </w:r>
      <w:r w:rsidRPr="00807DAF">
        <w:t xml:space="preserve"> </w:t>
      </w:r>
      <w:r w:rsidR="00D54450" w:rsidRPr="00807DAF">
        <w:t>submit</w:t>
      </w:r>
      <w:r w:rsidR="00A31B91" w:rsidRPr="00807DAF">
        <w:t>ting</w:t>
      </w:r>
      <w:r w:rsidR="00D54450" w:rsidRPr="00807DAF">
        <w:t xml:space="preserve"> the application </w:t>
      </w:r>
      <w:proofErr w:type="gramStart"/>
      <w:r w:rsidR="00D54450" w:rsidRPr="00807DAF">
        <w:t>form</w:t>
      </w:r>
      <w:r w:rsidR="00054F87">
        <w:t>;</w:t>
      </w:r>
      <w:proofErr w:type="gramEnd"/>
    </w:p>
    <w:p w14:paraId="58BB9D50" w14:textId="77777777" w:rsidR="003477DE" w:rsidRPr="00807DAF" w:rsidRDefault="00A31B91" w:rsidP="00F61F60">
      <w:pPr>
        <w:numPr>
          <w:ilvl w:val="0"/>
          <w:numId w:val="9"/>
        </w:numPr>
        <w:spacing w:after="120" w:line="240" w:lineRule="atLeast"/>
        <w:ind w:left="1134"/>
      </w:pPr>
      <w:r w:rsidRPr="00807DAF">
        <w:t xml:space="preserve">if any, </w:t>
      </w:r>
      <w:r w:rsidR="009901E5" w:rsidRPr="00807DAF">
        <w:t>its</w:t>
      </w:r>
      <w:r w:rsidR="006A36F9" w:rsidRPr="00807DAF">
        <w:t xml:space="preserve"> </w:t>
      </w:r>
      <w:r w:rsidR="006A36F9" w:rsidRPr="00807DAF">
        <w:rPr>
          <w:b/>
        </w:rPr>
        <w:t>co-applicant(s)</w:t>
      </w:r>
      <w:r w:rsidR="006A36F9" w:rsidRPr="00807DAF">
        <w:t xml:space="preserve"> (</w:t>
      </w:r>
      <w:r w:rsidR="006A36F9" w:rsidRPr="00807DAF">
        <w:rPr>
          <w:b/>
          <w:u w:val="single"/>
        </w:rPr>
        <w:t xml:space="preserve">where it </w:t>
      </w:r>
      <w:r w:rsidR="00B254EE" w:rsidRPr="00807DAF">
        <w:rPr>
          <w:b/>
          <w:u w:val="single"/>
        </w:rPr>
        <w:t xml:space="preserve">is </w:t>
      </w:r>
      <w:r w:rsidR="006A36F9" w:rsidRPr="00807DAF">
        <w:rPr>
          <w:b/>
          <w:u w:val="single"/>
        </w:rPr>
        <w:t xml:space="preserve">not specified otherwise the </w:t>
      </w:r>
      <w:r w:rsidR="00ED0176">
        <w:rPr>
          <w:b/>
          <w:u w:val="single"/>
        </w:rPr>
        <w:t>lead a</w:t>
      </w:r>
      <w:r w:rsidR="006A36F9" w:rsidRPr="00807DAF">
        <w:rPr>
          <w:b/>
          <w:u w:val="single"/>
        </w:rPr>
        <w:t xml:space="preserve">pplicant and </w:t>
      </w:r>
      <w:r w:rsidR="003477DE" w:rsidRPr="00807DAF">
        <w:rPr>
          <w:b/>
          <w:u w:val="single"/>
        </w:rPr>
        <w:t xml:space="preserve">its </w:t>
      </w:r>
      <w:r w:rsidR="006A36F9" w:rsidRPr="00807DAF">
        <w:rPr>
          <w:b/>
          <w:u w:val="single"/>
        </w:rPr>
        <w:t xml:space="preserve">co-applicant(s) are </w:t>
      </w:r>
      <w:r w:rsidR="009901E5" w:rsidRPr="00807DAF">
        <w:rPr>
          <w:b/>
          <w:u w:val="single"/>
        </w:rPr>
        <w:t xml:space="preserve">hereinafter </w:t>
      </w:r>
      <w:r w:rsidR="006A36F9" w:rsidRPr="00807DAF">
        <w:rPr>
          <w:b/>
          <w:u w:val="single"/>
        </w:rPr>
        <w:t xml:space="preserve">jointly referred as </w:t>
      </w:r>
      <w:r w:rsidR="00D11783" w:rsidRPr="00D34B88">
        <w:rPr>
          <w:b/>
          <w:u w:val="single"/>
        </w:rPr>
        <w:t>‘</w:t>
      </w:r>
      <w:r w:rsidR="006A36F9" w:rsidRPr="00F53E16">
        <w:rPr>
          <w:b/>
          <w:u w:val="single"/>
        </w:rPr>
        <w:t>applicant</w:t>
      </w:r>
      <w:r w:rsidR="009F3146" w:rsidRPr="00F53E16">
        <w:rPr>
          <w:b/>
          <w:u w:val="single"/>
        </w:rPr>
        <w:t>(</w:t>
      </w:r>
      <w:r w:rsidR="006A36F9" w:rsidRPr="00F53E16">
        <w:rPr>
          <w:b/>
          <w:u w:val="single"/>
        </w:rPr>
        <w:t>s</w:t>
      </w:r>
      <w:r w:rsidR="009F3146" w:rsidRPr="00F53E16">
        <w:rPr>
          <w:b/>
          <w:u w:val="single"/>
        </w:rPr>
        <w:t>)</w:t>
      </w:r>
      <w:r w:rsidR="00D11783" w:rsidRPr="00F53E16">
        <w:rPr>
          <w:b/>
          <w:u w:val="single"/>
        </w:rPr>
        <w:t>’</w:t>
      </w:r>
      <w:proofErr w:type="gramStart"/>
      <w:r w:rsidRPr="00807DAF">
        <w:t>)</w:t>
      </w:r>
      <w:r w:rsidR="00054F87">
        <w:t>;</w:t>
      </w:r>
      <w:proofErr w:type="gramEnd"/>
    </w:p>
    <w:p w14:paraId="308EDA5C" w14:textId="77777777" w:rsidR="00E95995" w:rsidRPr="00807DAF" w:rsidRDefault="006A36F9" w:rsidP="00F61F60">
      <w:pPr>
        <w:numPr>
          <w:ilvl w:val="0"/>
          <w:numId w:val="9"/>
        </w:numPr>
        <w:spacing w:after="120" w:line="240" w:lineRule="atLeast"/>
        <w:ind w:left="1134"/>
      </w:pPr>
      <w:r w:rsidRPr="00807DAF">
        <w:t>and</w:t>
      </w:r>
      <w:r w:rsidR="00A31B91" w:rsidRPr="00807DAF">
        <w:t>, if any,</w:t>
      </w:r>
      <w:r w:rsidRPr="00807DAF">
        <w:t xml:space="preserve"> </w:t>
      </w:r>
      <w:r w:rsidR="00A31B91" w:rsidRPr="00807DAF">
        <w:rPr>
          <w:b/>
        </w:rPr>
        <w:t>affiliated entity(</w:t>
      </w:r>
      <w:proofErr w:type="spellStart"/>
      <w:r w:rsidR="00A31B91" w:rsidRPr="00807DAF">
        <w:rPr>
          <w:b/>
        </w:rPr>
        <w:t>ies</w:t>
      </w:r>
      <w:proofErr w:type="spellEnd"/>
      <w:r w:rsidR="00A31B91" w:rsidRPr="00807DAF">
        <w:rPr>
          <w:b/>
        </w:rPr>
        <w:t>)</w:t>
      </w:r>
      <w:r w:rsidR="00296A25" w:rsidRPr="00807DAF">
        <w:rPr>
          <w:b/>
        </w:rPr>
        <w:t xml:space="preserve"> </w:t>
      </w:r>
      <w:r w:rsidR="00296A25" w:rsidRPr="00807DAF">
        <w:t xml:space="preserve">to the </w:t>
      </w:r>
      <w:r w:rsidR="00ED0176">
        <w:t>lead a</w:t>
      </w:r>
      <w:r w:rsidR="00296A25" w:rsidRPr="00807DAF">
        <w:t>pplicant and/or to a co-applicant(s</w:t>
      </w:r>
      <w:proofErr w:type="gramStart"/>
      <w:r w:rsidR="00296A25" w:rsidRPr="00807DAF">
        <w:t>)</w:t>
      </w:r>
      <w:r w:rsidRPr="00807DAF">
        <w:t>;</w:t>
      </w:r>
      <w:proofErr w:type="gramEnd"/>
    </w:p>
    <w:p w14:paraId="735BBC28" w14:textId="77777777" w:rsidR="00E95995" w:rsidRPr="00807DAF" w:rsidRDefault="00296A25" w:rsidP="00F61F60">
      <w:pPr>
        <w:numPr>
          <w:ilvl w:val="0"/>
          <w:numId w:val="18"/>
        </w:numPr>
        <w:spacing w:after="120" w:line="240" w:lineRule="atLeast"/>
      </w:pPr>
      <w:r w:rsidRPr="00807DAF">
        <w:t xml:space="preserve">the </w:t>
      </w:r>
      <w:r w:rsidR="00F06309" w:rsidRPr="00807DAF">
        <w:t>a</w:t>
      </w:r>
      <w:r w:rsidR="006F1CFC" w:rsidRPr="00807DAF">
        <w:t>ctions</w:t>
      </w:r>
      <w:r w:rsidR="00CB450B">
        <w:t xml:space="preserve"> (2.1.3.)</w:t>
      </w:r>
      <w:r w:rsidRPr="00807DAF">
        <w:t>:</w:t>
      </w:r>
    </w:p>
    <w:p w14:paraId="214E4857" w14:textId="77777777" w:rsidR="003477DE" w:rsidRPr="00807DAF" w:rsidRDefault="006264EC" w:rsidP="00F36C74">
      <w:pPr>
        <w:tabs>
          <w:tab w:val="left" w:pos="1134"/>
        </w:tabs>
        <w:spacing w:after="120" w:line="240" w:lineRule="atLeast"/>
        <w:ind w:left="720"/>
      </w:pPr>
      <w:r w:rsidRPr="0090348E">
        <w:rPr>
          <w:sz w:val="28"/>
          <w:szCs w:val="28"/>
        </w:rPr>
        <w:t>•</w:t>
      </w:r>
      <w:r w:rsidR="001F22BC">
        <w:tab/>
      </w:r>
      <w:r>
        <w:t>a</w:t>
      </w:r>
      <w:r w:rsidR="006F1CFC" w:rsidRPr="00807DAF">
        <w:t>ction</w:t>
      </w:r>
      <w:r w:rsidR="00A07623" w:rsidRPr="00807DAF">
        <w:t>s</w:t>
      </w:r>
      <w:r w:rsidR="003477DE" w:rsidRPr="00807DAF">
        <w:t xml:space="preserve"> for which a grant may be </w:t>
      </w:r>
      <w:proofErr w:type="gramStart"/>
      <w:r w:rsidR="003477DE" w:rsidRPr="00807DAF">
        <w:t>awarde</w:t>
      </w:r>
      <w:r>
        <w:t>d</w:t>
      </w:r>
      <w:r w:rsidR="003477DE" w:rsidRPr="00807DAF">
        <w:t>;</w:t>
      </w:r>
      <w:proofErr w:type="gramEnd"/>
    </w:p>
    <w:p w14:paraId="5339E42E" w14:textId="77777777" w:rsidR="00E95995" w:rsidRPr="00807DAF" w:rsidRDefault="00AB1C93" w:rsidP="00F61F60">
      <w:pPr>
        <w:numPr>
          <w:ilvl w:val="0"/>
          <w:numId w:val="18"/>
        </w:numPr>
        <w:spacing w:after="120" w:line="240" w:lineRule="atLeast"/>
      </w:pPr>
      <w:bookmarkStart w:id="9" w:name="_Hlk163811856"/>
      <w:bookmarkStart w:id="10" w:name="_Hlk163804804"/>
      <w:r>
        <w:t xml:space="preserve">the eligible costs or </w:t>
      </w:r>
      <w:r w:rsidR="005E0C27">
        <w:t>results/conditions</w:t>
      </w:r>
      <w:r>
        <w:t xml:space="preserve"> (2.1.4.):</w:t>
      </w:r>
    </w:p>
    <w:p w14:paraId="6EF3A9DA" w14:textId="77777777" w:rsidR="00267E4F" w:rsidRDefault="00AB1C93" w:rsidP="00F61F60">
      <w:pPr>
        <w:numPr>
          <w:ilvl w:val="0"/>
          <w:numId w:val="9"/>
        </w:numPr>
        <w:spacing w:after="120" w:line="240" w:lineRule="atLeast"/>
        <w:ind w:left="1134"/>
      </w:pPr>
      <w:r>
        <w:t xml:space="preserve">where the grant takes the form of reimbursement of costs (totally or partially): </w:t>
      </w:r>
      <w:r w:rsidRPr="00807DAF">
        <w:t xml:space="preserve">the </w:t>
      </w:r>
      <w:r>
        <w:t xml:space="preserve">eligible </w:t>
      </w:r>
      <w:r w:rsidRPr="00807DAF">
        <w:t>costs</w:t>
      </w:r>
      <w:r>
        <w:t xml:space="preserve">, the </w:t>
      </w:r>
      <w:r w:rsidR="0007408E" w:rsidRPr="00807DAF">
        <w:t xml:space="preserve">types of cost </w:t>
      </w:r>
      <w:r w:rsidR="00AA424B" w:rsidRPr="00807DAF">
        <w:t xml:space="preserve">that </w:t>
      </w:r>
      <w:r w:rsidR="0007408E" w:rsidRPr="00807DAF">
        <w:t xml:space="preserve">may be </w:t>
      </w:r>
      <w:proofErr w:type="gramStart"/>
      <w:r w:rsidR="0007408E" w:rsidRPr="00807DAF">
        <w:t>taken into account</w:t>
      </w:r>
      <w:proofErr w:type="gramEnd"/>
      <w:r w:rsidR="0007408E" w:rsidRPr="00807DAF">
        <w:t xml:space="preserve"> in setting the amount of the grant.</w:t>
      </w:r>
    </w:p>
    <w:p w14:paraId="14C7F4AD" w14:textId="77777777" w:rsidR="00AB1C93" w:rsidRPr="00807DAF" w:rsidRDefault="00085BC3" w:rsidP="00F61F60">
      <w:pPr>
        <w:numPr>
          <w:ilvl w:val="0"/>
          <w:numId w:val="9"/>
        </w:numPr>
        <w:spacing w:after="120" w:line="240" w:lineRule="atLeast"/>
        <w:ind w:left="1134"/>
      </w:pPr>
      <w:r>
        <w:lastRenderedPageBreak/>
        <w:t>w</w:t>
      </w:r>
      <w:r w:rsidR="00AB1C93">
        <w:t xml:space="preserve">here the grant takes the form of financing not linked to costs (totally or partially): the eligibility conditions for </w:t>
      </w:r>
      <w:r w:rsidR="005E0C27">
        <w:t>the results/conditions.</w:t>
      </w:r>
      <w:bookmarkEnd w:id="9"/>
    </w:p>
    <w:p w14:paraId="56025AA7" w14:textId="77777777" w:rsidR="0007408E" w:rsidRPr="008F411B" w:rsidRDefault="0007408E" w:rsidP="00F61F60">
      <w:pPr>
        <w:pStyle w:val="Guidelines3"/>
        <w:numPr>
          <w:ilvl w:val="2"/>
          <w:numId w:val="6"/>
        </w:numPr>
      </w:pPr>
      <w:bookmarkStart w:id="11" w:name="_Toc185257672"/>
      <w:bookmarkEnd w:id="10"/>
      <w:r w:rsidRPr="008F411B">
        <w:t>Eligibility of applicant</w:t>
      </w:r>
      <w:r w:rsidR="00A2450D" w:rsidRPr="008F411B">
        <w:t>s</w:t>
      </w:r>
      <w:r w:rsidR="00C4172B" w:rsidRPr="008F411B">
        <w:t xml:space="preserve"> (i.e. </w:t>
      </w:r>
      <w:r w:rsidR="00ED0176" w:rsidRPr="008F411B">
        <w:t>lead a</w:t>
      </w:r>
      <w:r w:rsidR="00C4172B" w:rsidRPr="008F411B">
        <w:t>pplicant and co-applicant(s))</w:t>
      </w:r>
      <w:bookmarkEnd w:id="11"/>
    </w:p>
    <w:p w14:paraId="335C8F49" w14:textId="77777777" w:rsidR="004127BD" w:rsidRPr="00951BF6" w:rsidRDefault="00ED0176" w:rsidP="00F36C74">
      <w:pPr>
        <w:spacing w:after="120" w:line="240" w:lineRule="atLeast"/>
        <w:rPr>
          <w:b/>
        </w:rPr>
      </w:pPr>
      <w:r w:rsidRPr="00951BF6">
        <w:rPr>
          <w:b/>
        </w:rPr>
        <w:t>Lead a</w:t>
      </w:r>
      <w:r w:rsidR="004127BD" w:rsidRPr="007E4F56">
        <w:rPr>
          <w:b/>
        </w:rPr>
        <w:t>pplicant</w:t>
      </w:r>
    </w:p>
    <w:p w14:paraId="00F1BC77" w14:textId="77777777" w:rsidR="000842B5" w:rsidRPr="00807DAF" w:rsidRDefault="006A36F9" w:rsidP="00D13B1E">
      <w:pPr>
        <w:spacing w:after="120" w:line="240" w:lineRule="atLeast"/>
        <w:ind w:left="426" w:hanging="426"/>
      </w:pPr>
      <w:proofErr w:type="gramStart"/>
      <w:r w:rsidRPr="00807DAF">
        <w:t>In order to</w:t>
      </w:r>
      <w:proofErr w:type="gramEnd"/>
      <w:r w:rsidRPr="00807DAF">
        <w:t xml:space="preserve"> be eligible for a grant, the </w:t>
      </w:r>
      <w:r w:rsidR="00ED0176">
        <w:t>lead a</w:t>
      </w:r>
      <w:r w:rsidRPr="00807DAF">
        <w:t>pplicant must:</w:t>
      </w:r>
    </w:p>
    <w:p w14:paraId="54D7C5A5" w14:textId="77777777" w:rsidR="00857D12" w:rsidRPr="00857D12" w:rsidRDefault="00857D12" w:rsidP="00F61F60">
      <w:pPr>
        <w:numPr>
          <w:ilvl w:val="0"/>
          <w:numId w:val="10"/>
        </w:numPr>
        <w:tabs>
          <w:tab w:val="left" w:pos="993"/>
        </w:tabs>
        <w:spacing w:after="120" w:line="240" w:lineRule="atLeast"/>
        <w:ind w:left="1134" w:hanging="567"/>
      </w:pPr>
      <w:r w:rsidRPr="00857D12">
        <w:t xml:space="preserve">be a legal person </w:t>
      </w:r>
      <w:r w:rsidRPr="00857D12">
        <w:rPr>
          <w:b/>
          <w:bCs/>
        </w:rPr>
        <w:t xml:space="preserve">and </w:t>
      </w:r>
    </w:p>
    <w:p w14:paraId="74C62F6B" w14:textId="77777777" w:rsidR="00857D12" w:rsidRPr="00857D12" w:rsidRDefault="00857D12" w:rsidP="00F61F60">
      <w:pPr>
        <w:numPr>
          <w:ilvl w:val="0"/>
          <w:numId w:val="10"/>
        </w:numPr>
        <w:tabs>
          <w:tab w:val="left" w:pos="993"/>
        </w:tabs>
        <w:spacing w:after="120" w:line="240" w:lineRule="atLeast"/>
        <w:ind w:left="1134" w:hanging="567"/>
      </w:pPr>
      <w:r w:rsidRPr="00857D12">
        <w:t>be non-</w:t>
      </w:r>
      <w:proofErr w:type="gramStart"/>
      <w:r w:rsidRPr="00857D12">
        <w:t>profit-making</w:t>
      </w:r>
      <w:proofErr w:type="gramEnd"/>
      <w:r w:rsidRPr="00857D12">
        <w:t xml:space="preserve"> </w:t>
      </w:r>
      <w:r w:rsidRPr="00857D12">
        <w:rPr>
          <w:b/>
          <w:bCs/>
        </w:rPr>
        <w:t>and</w:t>
      </w:r>
    </w:p>
    <w:p w14:paraId="7216176D" w14:textId="77777777" w:rsidR="00857D12" w:rsidRPr="00D13B1E" w:rsidRDefault="00857D12" w:rsidP="00F61F60">
      <w:pPr>
        <w:numPr>
          <w:ilvl w:val="0"/>
          <w:numId w:val="10"/>
        </w:numPr>
        <w:tabs>
          <w:tab w:val="left" w:pos="993"/>
        </w:tabs>
        <w:spacing w:after="120" w:line="240" w:lineRule="atLeast"/>
        <w:ind w:left="1134" w:hanging="567"/>
      </w:pPr>
      <w:r w:rsidRPr="00D13B1E">
        <w:t xml:space="preserve">be a specific type of organisation </w:t>
      </w:r>
      <w:proofErr w:type="gramStart"/>
      <w:r w:rsidRPr="00D13B1E">
        <w:t>such as:</w:t>
      </w:r>
      <w:proofErr w:type="gramEnd"/>
      <w:r w:rsidRPr="00D13B1E">
        <w:t xml:space="preserve"> non-governmental organisation</w:t>
      </w:r>
      <w:r w:rsidRPr="00D13B1E">
        <w:rPr>
          <w:vertAlign w:val="superscript"/>
        </w:rPr>
        <w:footnoteReference w:id="19"/>
      </w:r>
      <w:r w:rsidRPr="00D13B1E">
        <w:t xml:space="preserve">, </w:t>
      </w:r>
      <w:r w:rsidRPr="00D13B1E">
        <w:rPr>
          <w:b/>
          <w:bCs/>
        </w:rPr>
        <w:t xml:space="preserve">and </w:t>
      </w:r>
    </w:p>
    <w:p w14:paraId="548D9EAB" w14:textId="77777777" w:rsidR="00857D12" w:rsidRPr="00D13B1E" w:rsidRDefault="00857D12" w:rsidP="00F61F60">
      <w:pPr>
        <w:numPr>
          <w:ilvl w:val="0"/>
          <w:numId w:val="10"/>
        </w:numPr>
        <w:tabs>
          <w:tab w:val="left" w:pos="993"/>
        </w:tabs>
        <w:spacing w:after="120" w:line="240" w:lineRule="atLeast"/>
        <w:ind w:left="1134" w:hanging="567"/>
      </w:pPr>
      <w:r w:rsidRPr="00D13B1E">
        <w:t>be effectively established in</w:t>
      </w:r>
      <w:r w:rsidRPr="00D13B1E">
        <w:rPr>
          <w:vertAlign w:val="superscript"/>
        </w:rPr>
        <w:footnoteReference w:id="20"/>
      </w:r>
      <w:r w:rsidRPr="00D13B1E">
        <w:t xml:space="preserve"> Ukraine or a Member State of the European Union or any other eligible countries as stipulated in the basic act (</w:t>
      </w:r>
      <w:r w:rsidRPr="00D13B1E">
        <w:rPr>
          <w:b/>
          <w:bCs/>
        </w:rPr>
        <w:t>the Ukraine Facility</w:t>
      </w:r>
      <w:r w:rsidRPr="00D13B1E">
        <w:t xml:space="preserve">), </w:t>
      </w:r>
      <w:r w:rsidRPr="00D13B1E">
        <w:rPr>
          <w:b/>
          <w:bCs/>
        </w:rPr>
        <w:t>and</w:t>
      </w:r>
    </w:p>
    <w:p w14:paraId="580CD984" w14:textId="77777777" w:rsidR="00857D12" w:rsidRPr="00857D12" w:rsidRDefault="00857D12" w:rsidP="00F61F60">
      <w:pPr>
        <w:numPr>
          <w:ilvl w:val="0"/>
          <w:numId w:val="10"/>
        </w:numPr>
        <w:tabs>
          <w:tab w:val="left" w:pos="993"/>
        </w:tabs>
        <w:spacing w:after="120" w:line="240" w:lineRule="atLeast"/>
        <w:ind w:left="1134" w:hanging="567"/>
      </w:pPr>
      <w:r w:rsidRPr="00857D12">
        <w:t>be directly responsible for the preparation and management of the action with the co-applicant(s) and affiliated entity(</w:t>
      </w:r>
      <w:proofErr w:type="spellStart"/>
      <w:r w:rsidRPr="00857D12">
        <w:t>ies</w:t>
      </w:r>
      <w:proofErr w:type="spellEnd"/>
      <w:r w:rsidRPr="00857D12">
        <w:t xml:space="preserve">), not acting as an intermediary, </w:t>
      </w:r>
      <w:r w:rsidRPr="00857D12">
        <w:rPr>
          <w:b/>
          <w:bCs/>
        </w:rPr>
        <w:t>and</w:t>
      </w:r>
      <w:r w:rsidRPr="00857D12">
        <w:t xml:space="preserve"> </w:t>
      </w:r>
    </w:p>
    <w:p w14:paraId="00017D2A" w14:textId="77777777" w:rsidR="00857D12" w:rsidRPr="00857D12" w:rsidRDefault="00857D12" w:rsidP="00F61F60">
      <w:pPr>
        <w:numPr>
          <w:ilvl w:val="0"/>
          <w:numId w:val="10"/>
        </w:numPr>
        <w:tabs>
          <w:tab w:val="left" w:pos="993"/>
        </w:tabs>
        <w:spacing w:after="120" w:line="240" w:lineRule="atLeast"/>
        <w:ind w:left="1134" w:hanging="567"/>
      </w:pPr>
      <w:r w:rsidRPr="00857D12">
        <w:t>not being in any of the situations listed in Section 2.4. of the practical guide</w:t>
      </w:r>
      <w:r>
        <w:t>.</w:t>
      </w:r>
    </w:p>
    <w:p w14:paraId="542B706D" w14:textId="77777777" w:rsidR="00042967" w:rsidRDefault="00042967" w:rsidP="00857D12">
      <w:pPr>
        <w:tabs>
          <w:tab w:val="left" w:pos="993"/>
        </w:tabs>
        <w:spacing w:after="120" w:line="240" w:lineRule="atLeast"/>
        <w:ind w:left="993"/>
      </w:pPr>
    </w:p>
    <w:p w14:paraId="2184D9F8" w14:textId="77777777" w:rsidR="006A36F9" w:rsidRPr="00807DAF" w:rsidRDefault="006A36F9" w:rsidP="001B7D50">
      <w:pPr>
        <w:spacing w:after="120" w:line="240" w:lineRule="atLeast"/>
      </w:pPr>
      <w:r w:rsidRPr="00807DAF">
        <w:t xml:space="preserve">The </w:t>
      </w:r>
      <w:r w:rsidR="00BD53D5">
        <w:t>lead a</w:t>
      </w:r>
      <w:r w:rsidRPr="00807DAF">
        <w:t>pplicant must act with co-applicant(s) as specified hereafter</w:t>
      </w:r>
      <w:bookmarkStart w:id="12" w:name="_Hlk163805480"/>
      <w:r w:rsidRPr="00807DAF">
        <w:t>.</w:t>
      </w:r>
      <w:bookmarkEnd w:id="12"/>
    </w:p>
    <w:p w14:paraId="00AAD4AB" w14:textId="77777777" w:rsidR="00296A25" w:rsidRPr="00807DAF" w:rsidRDefault="00D80885" w:rsidP="001B7D50">
      <w:pPr>
        <w:spacing w:after="120" w:line="240" w:lineRule="atLeast"/>
      </w:pPr>
      <w:r w:rsidRPr="00807DAF">
        <w:t xml:space="preserve">If awarded the </w:t>
      </w:r>
      <w:r w:rsidR="00176B31">
        <w:t>g</w:t>
      </w:r>
      <w:r w:rsidRPr="00807DAF">
        <w:t xml:space="preserve">rant contract, the </w:t>
      </w:r>
      <w:r w:rsidR="00BD53D5">
        <w:t>lead a</w:t>
      </w:r>
      <w:r w:rsidRPr="00807DAF">
        <w:t>pplicant will become the</w:t>
      </w:r>
      <w:r w:rsidR="00C25630">
        <w:t xml:space="preserve"> </w:t>
      </w:r>
      <w:r w:rsidR="00176B31">
        <w:t>b</w:t>
      </w:r>
      <w:r w:rsidRPr="00807DAF">
        <w:t xml:space="preserve">eneficiary identified as the </w:t>
      </w:r>
      <w:r w:rsidR="00D11783">
        <w:t>c</w:t>
      </w:r>
      <w:r w:rsidRPr="00807DAF">
        <w:t xml:space="preserve">oordinator in </w:t>
      </w:r>
      <w:r w:rsidR="002A66CB">
        <w:t>A</w:t>
      </w:r>
      <w:r w:rsidRPr="00807DAF">
        <w:t xml:space="preserve">nnex </w:t>
      </w:r>
      <w:r w:rsidR="00826F51">
        <w:t>G</w:t>
      </w:r>
      <w:r w:rsidR="00E73231" w:rsidRPr="00807DAF">
        <w:t xml:space="preserve"> </w:t>
      </w:r>
      <w:r w:rsidRPr="00807DAF">
        <w:t>(</w:t>
      </w:r>
      <w:r w:rsidR="00D11783">
        <w:t>s</w:t>
      </w:r>
      <w:r w:rsidRPr="00807DAF">
        <w:t xml:space="preserve">pecial </w:t>
      </w:r>
      <w:r w:rsidR="00D11783">
        <w:t>c</w:t>
      </w:r>
      <w:r w:rsidRPr="00807DAF">
        <w:t xml:space="preserve">onditions). The </w:t>
      </w:r>
      <w:r w:rsidR="00D11783">
        <w:t>c</w:t>
      </w:r>
      <w:r w:rsidRPr="00807DAF">
        <w:t xml:space="preserve">oordinator is the </w:t>
      </w:r>
      <w:r w:rsidR="00114EE7">
        <w:t>sole</w:t>
      </w:r>
      <w:r w:rsidR="00F51BDC">
        <w:t xml:space="preserve"> </w:t>
      </w:r>
      <w:r w:rsidRPr="00807DAF">
        <w:t xml:space="preserve">interlocutor of the </w:t>
      </w:r>
      <w:r w:rsidR="00D11783">
        <w:t>c</w:t>
      </w:r>
      <w:r w:rsidRPr="00807DAF">
        <w:t xml:space="preserve">ontracting </w:t>
      </w:r>
      <w:r w:rsidR="00D11783">
        <w:t>a</w:t>
      </w:r>
      <w:r w:rsidRPr="00807DAF">
        <w:t xml:space="preserve">uthority. It represents and acts on behalf of any other co-beneficiary (if any) and coordinate the design and implementation of the </w:t>
      </w:r>
      <w:r w:rsidR="00176B31">
        <w:t>a</w:t>
      </w:r>
      <w:r w:rsidRPr="00807DAF">
        <w:t>ction.</w:t>
      </w:r>
    </w:p>
    <w:p w14:paraId="34AD41DE" w14:textId="77777777" w:rsidR="006A36F9" w:rsidRPr="00BA6979" w:rsidRDefault="006A36F9" w:rsidP="001B7D50">
      <w:pPr>
        <w:spacing w:after="120" w:line="240" w:lineRule="atLeast"/>
        <w:rPr>
          <w:b/>
        </w:rPr>
      </w:pPr>
      <w:r w:rsidRPr="00BA6979">
        <w:rPr>
          <w:b/>
        </w:rPr>
        <w:t>Co-applicant(s)</w:t>
      </w:r>
      <w:r w:rsidR="000C2C50">
        <w:rPr>
          <w:b/>
        </w:rPr>
        <w:t xml:space="preserve"> </w:t>
      </w:r>
    </w:p>
    <w:p w14:paraId="75C4BFC2" w14:textId="77777777" w:rsidR="00C4187C" w:rsidRPr="00C4187C" w:rsidRDefault="00C4187C" w:rsidP="00C4187C">
      <w:pPr>
        <w:spacing w:after="120" w:line="240" w:lineRule="atLeast"/>
      </w:pPr>
      <w:r w:rsidRPr="00C4187C">
        <w:t xml:space="preserve">The lead applicant must act with </w:t>
      </w:r>
      <w:r w:rsidRPr="005202BE">
        <w:rPr>
          <w:b/>
          <w:u w:val="single"/>
        </w:rPr>
        <w:t xml:space="preserve">at least </w:t>
      </w:r>
      <w:r w:rsidR="00D13B1E">
        <w:rPr>
          <w:b/>
          <w:u w:val="single"/>
        </w:rPr>
        <w:t>2</w:t>
      </w:r>
      <w:r w:rsidRPr="005202BE">
        <w:rPr>
          <w:b/>
          <w:u w:val="single"/>
        </w:rPr>
        <w:t xml:space="preserve"> co-applicants</w:t>
      </w:r>
      <w:r w:rsidRPr="00C4187C">
        <w:t>.</w:t>
      </w:r>
    </w:p>
    <w:p w14:paraId="17FD6037" w14:textId="77777777" w:rsidR="00C4187C" w:rsidRDefault="00C4187C" w:rsidP="001B7D50">
      <w:pPr>
        <w:spacing w:after="120" w:line="240" w:lineRule="atLeast"/>
      </w:pPr>
    </w:p>
    <w:p w14:paraId="6E60DB0B" w14:textId="77777777" w:rsidR="00D54450" w:rsidRPr="00C55820" w:rsidRDefault="00F42DD2" w:rsidP="001B7D50">
      <w:pPr>
        <w:spacing w:after="120" w:line="240" w:lineRule="atLeast"/>
      </w:pPr>
      <w:r w:rsidRPr="00593829">
        <w:t xml:space="preserve">Co-applicants participate in designing and implementing the action, and the costs they incur are eligible in the same way as those incurred by the </w:t>
      </w:r>
      <w:r w:rsidR="00BD53D5">
        <w:t>lead a</w:t>
      </w:r>
      <w:r w:rsidRPr="00593829">
        <w:t xml:space="preserve">pplicant. </w:t>
      </w:r>
    </w:p>
    <w:p w14:paraId="14C036A0" w14:textId="77777777" w:rsidR="00D54450" w:rsidRPr="00807DAF" w:rsidRDefault="006A36F9" w:rsidP="001B7D50">
      <w:pPr>
        <w:spacing w:after="120" w:line="240" w:lineRule="atLeast"/>
      </w:pPr>
      <w:r w:rsidRPr="008C30AD">
        <w:t xml:space="preserve">Co-applicants must satisfy the eligibility criteria as applicable </w:t>
      </w:r>
      <w:r w:rsidR="008A6F06" w:rsidRPr="00424E58">
        <w:t>to</w:t>
      </w:r>
      <w:r w:rsidRPr="00424E58">
        <w:t xml:space="preserve"> the </w:t>
      </w:r>
      <w:r w:rsidR="00BD53D5">
        <w:t>lead a</w:t>
      </w:r>
      <w:r w:rsidRPr="00424E58">
        <w:t>pplicant himself.</w:t>
      </w:r>
    </w:p>
    <w:p w14:paraId="2CFC54E5" w14:textId="77777777" w:rsidR="00D80885" w:rsidRDefault="00D80885" w:rsidP="001B7D50">
      <w:pPr>
        <w:spacing w:after="120" w:line="240" w:lineRule="atLeast"/>
      </w:pPr>
      <w:r w:rsidRPr="00593829">
        <w:t xml:space="preserve">Co-applicants must sign the </w:t>
      </w:r>
      <w:r w:rsidR="00176B31">
        <w:t>m</w:t>
      </w:r>
      <w:r w:rsidRPr="00593829">
        <w:t xml:space="preserve">andate in </w:t>
      </w:r>
      <w:r w:rsidR="00964FB0">
        <w:t>Annex A</w:t>
      </w:r>
      <w:r w:rsidR="00F43773">
        <w:t>.</w:t>
      </w:r>
      <w:r w:rsidR="00964FB0">
        <w:t>2</w:t>
      </w:r>
      <w:r w:rsidRPr="00593829">
        <w:t xml:space="preserve"> </w:t>
      </w:r>
      <w:r w:rsidR="00B01659">
        <w:t>S</w:t>
      </w:r>
      <w:r w:rsidRPr="00593829">
        <w:t xml:space="preserve">ection </w:t>
      </w:r>
      <w:r w:rsidR="00964FB0">
        <w:t>5</w:t>
      </w:r>
      <w:r w:rsidRPr="00593829">
        <w:t>.</w:t>
      </w:r>
    </w:p>
    <w:p w14:paraId="67519494" w14:textId="77777777" w:rsidR="00336E5C" w:rsidRPr="00BA6979" w:rsidRDefault="00336E5C" w:rsidP="001B7D50">
      <w:pPr>
        <w:spacing w:after="120" w:line="240" w:lineRule="atLeast"/>
      </w:pPr>
      <w:r w:rsidRPr="00BA6979">
        <w:t>If awarded the grant contract, the co-applicant(s) (if any) will become beneficiary(</w:t>
      </w:r>
      <w:proofErr w:type="spellStart"/>
      <w:r w:rsidRPr="00BA6979">
        <w:t>ies</w:t>
      </w:r>
      <w:proofErr w:type="spellEnd"/>
      <w:r w:rsidRPr="00BA6979">
        <w:t xml:space="preserve">) in the action (together with the coordinator) </w:t>
      </w:r>
    </w:p>
    <w:p w14:paraId="3ABA879A" w14:textId="77777777" w:rsidR="007577E1" w:rsidRDefault="007577E1" w:rsidP="00F36C74">
      <w:pPr>
        <w:spacing w:after="120" w:line="240" w:lineRule="atLeast"/>
        <w:rPr>
          <w:b/>
        </w:rPr>
      </w:pPr>
    </w:p>
    <w:p w14:paraId="3FBDE53B" w14:textId="43AF64CB" w:rsidR="00914462" w:rsidRPr="005F7635" w:rsidRDefault="00914462" w:rsidP="00F36C74">
      <w:pPr>
        <w:spacing w:after="120" w:line="240" w:lineRule="atLeast"/>
        <w:rPr>
          <w:b/>
          <w:i/>
        </w:rPr>
      </w:pPr>
      <w:r w:rsidRPr="00BA6979">
        <w:rPr>
          <w:b/>
        </w:rPr>
        <w:lastRenderedPageBreak/>
        <w:t>Affiliated entities</w:t>
      </w:r>
    </w:p>
    <w:p w14:paraId="730FDEC0" w14:textId="77777777" w:rsidR="00A07623" w:rsidRPr="00BA6979" w:rsidRDefault="00A07623" w:rsidP="00F36C74">
      <w:pPr>
        <w:spacing w:after="120" w:line="240" w:lineRule="atLeast"/>
      </w:pPr>
      <w:r w:rsidRPr="00BA6979">
        <w:t xml:space="preserve">The </w:t>
      </w:r>
      <w:r w:rsidR="00BD53D5" w:rsidRPr="00BA6979">
        <w:t>lead a</w:t>
      </w:r>
      <w:r w:rsidRPr="00BA6979">
        <w:t>pplicant and its co-applicant(s) may act with affiliated entity(</w:t>
      </w:r>
      <w:proofErr w:type="spellStart"/>
      <w:r w:rsidRPr="00BA6979">
        <w:t>ies</w:t>
      </w:r>
      <w:proofErr w:type="spellEnd"/>
      <w:r w:rsidRPr="00BA6979">
        <w:t>)</w:t>
      </w:r>
      <w:r w:rsidR="00176B31" w:rsidRPr="00BA6979">
        <w:t>.</w:t>
      </w:r>
    </w:p>
    <w:p w14:paraId="42E14F2E" w14:textId="77777777" w:rsidR="00914462" w:rsidRPr="001B7D50" w:rsidRDefault="003477DE" w:rsidP="00F36C74">
      <w:pPr>
        <w:spacing w:after="120" w:line="240" w:lineRule="atLeast"/>
        <w:rPr>
          <w:bCs/>
          <w:u w:val="single"/>
        </w:rPr>
      </w:pPr>
      <w:r w:rsidRPr="001B7D50">
        <w:rPr>
          <w:bCs/>
          <w:u w:val="single"/>
        </w:rPr>
        <w:t xml:space="preserve">Only the </w:t>
      </w:r>
      <w:r w:rsidR="00914462" w:rsidRPr="001B7D50">
        <w:rPr>
          <w:bCs/>
          <w:u w:val="single"/>
        </w:rPr>
        <w:t xml:space="preserve">following entities may be considered as affiliated entities to the </w:t>
      </w:r>
      <w:r w:rsidR="00BD53D5" w:rsidRPr="001B7D50">
        <w:rPr>
          <w:bCs/>
          <w:u w:val="single"/>
        </w:rPr>
        <w:t>lead a</w:t>
      </w:r>
      <w:r w:rsidR="00914462" w:rsidRPr="001B7D50">
        <w:rPr>
          <w:bCs/>
          <w:u w:val="single"/>
        </w:rPr>
        <w:t xml:space="preserve">pplicant </w:t>
      </w:r>
      <w:r w:rsidR="00E86372" w:rsidRPr="001B7D50">
        <w:rPr>
          <w:bCs/>
          <w:u w:val="single"/>
        </w:rPr>
        <w:t>and/</w:t>
      </w:r>
      <w:r w:rsidR="00914462" w:rsidRPr="001B7D50">
        <w:rPr>
          <w:bCs/>
          <w:u w:val="single"/>
        </w:rPr>
        <w:t>or to co-applicant(s):</w:t>
      </w:r>
    </w:p>
    <w:p w14:paraId="58A7730C" w14:textId="77777777" w:rsidR="005E7A18" w:rsidRPr="00593829" w:rsidRDefault="005E7A18" w:rsidP="001B7D50">
      <w:pPr>
        <w:spacing w:after="120" w:line="240" w:lineRule="atLeast"/>
      </w:pPr>
      <w:r w:rsidRPr="00593829">
        <w:t>Only entities having a structural link with the applicants</w:t>
      </w:r>
      <w:r w:rsidR="000043F8">
        <w:t xml:space="preserve"> (</w:t>
      </w:r>
      <w:r w:rsidR="00F72E51">
        <w:t xml:space="preserve">i.e. </w:t>
      </w:r>
      <w:r w:rsidR="000043F8">
        <w:t xml:space="preserve">the </w:t>
      </w:r>
      <w:r w:rsidR="00BD53D5">
        <w:t>lead a</w:t>
      </w:r>
      <w:r w:rsidR="000043F8">
        <w:t>pplicant or a co-applicant)</w:t>
      </w:r>
      <w:r w:rsidRPr="00593829">
        <w:t>, in particular a legal or capital link.</w:t>
      </w:r>
    </w:p>
    <w:p w14:paraId="2AF57D4F" w14:textId="77777777" w:rsidR="005E7A18" w:rsidRPr="00593829" w:rsidRDefault="005E7A18" w:rsidP="001B7D50">
      <w:pPr>
        <w:spacing w:after="120" w:line="240" w:lineRule="atLeast"/>
      </w:pPr>
      <w:r w:rsidRPr="00593829">
        <w:t>This structural link encompasses mainly two notions:</w:t>
      </w:r>
    </w:p>
    <w:p w14:paraId="26D51365" w14:textId="77777777" w:rsidR="005E7A18" w:rsidRPr="00593829" w:rsidRDefault="005E7A18" w:rsidP="001B7D50">
      <w:pPr>
        <w:spacing w:after="120" w:line="240" w:lineRule="atLeast"/>
        <w:ind w:left="720" w:hanging="567"/>
      </w:pPr>
      <w:r w:rsidRPr="00593829">
        <w:t>(</w:t>
      </w:r>
      <w:proofErr w:type="spellStart"/>
      <w:r w:rsidRPr="00593829">
        <w:t>i</w:t>
      </w:r>
      <w:proofErr w:type="spellEnd"/>
      <w:r w:rsidRPr="00593829">
        <w:t xml:space="preserve">) </w:t>
      </w:r>
      <w:r w:rsidRPr="00593829">
        <w:tab/>
        <w:t>Control, as defined in Directive 2013/34/EU on the annual financial statements, consolidated financial statements and related reports of certain types of undertakings:</w:t>
      </w:r>
    </w:p>
    <w:p w14:paraId="5755DF69" w14:textId="77777777" w:rsidR="005E7A18" w:rsidRPr="00593829" w:rsidRDefault="005E7A18" w:rsidP="001B7D50">
      <w:pPr>
        <w:spacing w:after="120" w:line="240" w:lineRule="atLeast"/>
        <w:ind w:left="709"/>
      </w:pPr>
      <w:r w:rsidRPr="00593829">
        <w:t xml:space="preserve">Entities affiliated to </w:t>
      </w:r>
      <w:r w:rsidR="000043F8">
        <w:t xml:space="preserve">an applicant </w:t>
      </w:r>
      <w:r w:rsidRPr="00593829">
        <w:t>may hence be:</w:t>
      </w:r>
    </w:p>
    <w:p w14:paraId="14689132" w14:textId="77777777" w:rsidR="005E7A18" w:rsidRPr="00593829" w:rsidRDefault="005E7A18" w:rsidP="00F61F60">
      <w:pPr>
        <w:numPr>
          <w:ilvl w:val="0"/>
          <w:numId w:val="21"/>
        </w:numPr>
        <w:spacing w:after="120" w:line="240" w:lineRule="atLeast"/>
        <w:ind w:left="1276" w:hanging="283"/>
      </w:pPr>
      <w:r w:rsidRPr="00593829">
        <w:t xml:space="preserve">Entities directly or indirectly controlled by </w:t>
      </w:r>
      <w:r w:rsidR="00AF62CA">
        <w:t>the</w:t>
      </w:r>
      <w:r w:rsidR="000043F8">
        <w:t xml:space="preserve"> applicant </w:t>
      </w:r>
      <w:r w:rsidRPr="00593829">
        <w:t xml:space="preserve">(daughter companies or first-tier subsidiaries). They may also be entities controlled by an entity controlled by </w:t>
      </w:r>
      <w:r w:rsidR="00AF62CA">
        <w:t>the</w:t>
      </w:r>
      <w:r w:rsidR="000043F8">
        <w:t xml:space="preserve"> applicant </w:t>
      </w:r>
      <w:r w:rsidRPr="00593829">
        <w:t xml:space="preserve">(granddaughter companies or second-tier subsidiaries) and the same applies to further tiers of </w:t>
      </w:r>
      <w:proofErr w:type="gramStart"/>
      <w:r w:rsidRPr="00593829">
        <w:t>control;</w:t>
      </w:r>
      <w:proofErr w:type="gramEnd"/>
    </w:p>
    <w:p w14:paraId="0A96DAAC" w14:textId="77777777" w:rsidR="005E7A18" w:rsidRPr="00593829" w:rsidRDefault="005E7A18" w:rsidP="00F61F60">
      <w:pPr>
        <w:numPr>
          <w:ilvl w:val="0"/>
          <w:numId w:val="21"/>
        </w:numPr>
        <w:spacing w:after="120" w:line="240" w:lineRule="atLeast"/>
        <w:ind w:left="1276" w:hanging="283"/>
      </w:pPr>
      <w:r w:rsidRPr="00593829">
        <w:t xml:space="preserve">Entities directly or indirectly controlling the </w:t>
      </w:r>
      <w:r w:rsidR="00156DE6">
        <w:t>applicant</w:t>
      </w:r>
      <w:r w:rsidR="00156DE6" w:rsidRPr="00593829">
        <w:t xml:space="preserve"> </w:t>
      </w:r>
      <w:r w:rsidRPr="00593829">
        <w:t xml:space="preserve">(parent companies). Likewise, they may be entities controlling an entity controlling the </w:t>
      </w:r>
      <w:proofErr w:type="gramStart"/>
      <w:r w:rsidR="000043F8">
        <w:t>applicant</w:t>
      </w:r>
      <w:r w:rsidRPr="00593829">
        <w:t>;</w:t>
      </w:r>
      <w:proofErr w:type="gramEnd"/>
    </w:p>
    <w:p w14:paraId="584FB21A" w14:textId="77777777" w:rsidR="005E7A18" w:rsidRPr="00593829" w:rsidRDefault="005E7A18" w:rsidP="00F61F60">
      <w:pPr>
        <w:numPr>
          <w:ilvl w:val="0"/>
          <w:numId w:val="21"/>
        </w:numPr>
        <w:spacing w:after="120" w:line="240" w:lineRule="atLeast"/>
        <w:ind w:left="1276" w:hanging="283"/>
      </w:pPr>
      <w:r w:rsidRPr="00593829">
        <w:t xml:space="preserve">Entities under the same direct or indirect control as the </w:t>
      </w:r>
      <w:r w:rsidR="000043F8">
        <w:t xml:space="preserve">applicant </w:t>
      </w:r>
      <w:r w:rsidRPr="00593829">
        <w:t>(sister companies).</w:t>
      </w:r>
    </w:p>
    <w:p w14:paraId="04708370" w14:textId="77777777" w:rsidR="005E7A18" w:rsidRPr="00593829" w:rsidRDefault="005E7A18" w:rsidP="001B7D50">
      <w:pPr>
        <w:spacing w:after="120" w:line="240" w:lineRule="atLeast"/>
        <w:ind w:left="720" w:hanging="578"/>
      </w:pPr>
      <w:r w:rsidRPr="00593829">
        <w:t xml:space="preserve">(ii) </w:t>
      </w:r>
      <w:r w:rsidRPr="00593829">
        <w:tab/>
        <w:t xml:space="preserve">Membership, i.e. the </w:t>
      </w:r>
      <w:r w:rsidR="000043F8">
        <w:t xml:space="preserve">applicant </w:t>
      </w:r>
      <w:r w:rsidRPr="00593829">
        <w:t xml:space="preserve">is legally defined as a e.g. network, federation, association in which the proposed affiliated entities also </w:t>
      </w:r>
      <w:proofErr w:type="gramStart"/>
      <w:r w:rsidRPr="00593829">
        <w:t>participate</w:t>
      </w:r>
      <w:proofErr w:type="gramEnd"/>
      <w:r w:rsidRPr="00593829">
        <w:t xml:space="preserve"> or the </w:t>
      </w:r>
      <w:r w:rsidR="000043F8">
        <w:t xml:space="preserve">applicant </w:t>
      </w:r>
      <w:r w:rsidRPr="00593829">
        <w:t>participates in the same entity (e.g. network, federation, association</w:t>
      </w:r>
      <w:r w:rsidR="00EF5564">
        <w:t>…</w:t>
      </w:r>
      <w:r w:rsidRPr="00593829">
        <w:t>) as the proposed affiliated entities.</w:t>
      </w:r>
    </w:p>
    <w:p w14:paraId="6B6F1A0E" w14:textId="77777777" w:rsidR="005E7A18" w:rsidRPr="00593829" w:rsidRDefault="005E7A18" w:rsidP="001B7D50">
      <w:pPr>
        <w:spacing w:after="120" w:line="240" w:lineRule="atLeast"/>
      </w:pPr>
      <w:r w:rsidRPr="00593829">
        <w:t xml:space="preserve">The structural link shall </w:t>
      </w:r>
      <w:proofErr w:type="gramStart"/>
      <w:r w:rsidRPr="00593829">
        <w:t>as a general rule</w:t>
      </w:r>
      <w:proofErr w:type="gramEnd"/>
      <w:r w:rsidRPr="00593829">
        <w:t xml:space="preserve"> be neither limited to the action nor established for the sole purpose of its implementation. This means that the link would exist independently of the award of the grant; it should exist before the call for proposals and remain valid after the end of the action.</w:t>
      </w:r>
    </w:p>
    <w:p w14:paraId="20477809" w14:textId="77777777" w:rsidR="005E7A18" w:rsidRPr="00593829" w:rsidRDefault="005E7A18" w:rsidP="001B7D50">
      <w:pPr>
        <w:spacing w:after="120" w:line="240" w:lineRule="atLeast"/>
      </w:pPr>
      <w:r w:rsidRPr="00593829">
        <w:t xml:space="preserve">By way of exception, an entity may be considered as affiliated to </w:t>
      </w:r>
      <w:r w:rsidR="000043F8">
        <w:t xml:space="preserve">an applicant </w:t>
      </w:r>
      <w:r w:rsidRPr="00593829">
        <w:t xml:space="preserve">even if it has a structural link specifically established for the sole purpose of the implementation of the action in the case of so-called </w:t>
      </w:r>
      <w:r w:rsidR="00D11783">
        <w:t>‘</w:t>
      </w:r>
      <w:r w:rsidRPr="00593829">
        <w:t>sole applicants</w:t>
      </w:r>
      <w:r w:rsidR="00D11783">
        <w:t>’</w:t>
      </w:r>
      <w:r w:rsidRPr="00593829">
        <w:t xml:space="preserve"> or </w:t>
      </w:r>
      <w:r w:rsidR="00D11783">
        <w:t>‘</w:t>
      </w:r>
      <w:r w:rsidRPr="00593829">
        <w:t xml:space="preserve">sole </w:t>
      </w:r>
      <w:proofErr w:type="gramStart"/>
      <w:r w:rsidRPr="00593829">
        <w:t>beneficiaries</w:t>
      </w:r>
      <w:r w:rsidR="00D11783">
        <w:t>’</w:t>
      </w:r>
      <w:proofErr w:type="gramEnd"/>
      <w:r w:rsidRPr="00593829">
        <w:t>.  A sole applicant or a sole beneficiary is a</w:t>
      </w:r>
      <w:r w:rsidR="002A66CB">
        <w:t xml:space="preserve"> legal</w:t>
      </w:r>
      <w:r w:rsidRPr="00593829">
        <w:t xml:space="preserve"> entity formed by several entities (a group of entities) which together comply with the criteria for being awarded the grant</w:t>
      </w:r>
      <w:r w:rsidR="00FF5991" w:rsidRPr="00593829">
        <w:t>. For example, an association is formed by its members.</w:t>
      </w:r>
    </w:p>
    <w:p w14:paraId="70D4A8F0" w14:textId="77777777" w:rsidR="005E7A18" w:rsidRPr="001B7D50" w:rsidRDefault="005E7A18" w:rsidP="001B7D50">
      <w:pPr>
        <w:pStyle w:val="Normal-box"/>
        <w:pBdr>
          <w:top w:val="none" w:sz="0" w:space="0" w:color="auto"/>
          <w:left w:val="none" w:sz="0" w:space="0" w:color="auto"/>
          <w:bottom w:val="none" w:sz="0" w:space="0" w:color="auto"/>
          <w:right w:val="none" w:sz="0" w:space="0" w:color="auto"/>
        </w:pBdr>
        <w:spacing w:before="0" w:line="240" w:lineRule="atLeast"/>
        <w:rPr>
          <w:bCs w:val="0"/>
          <w:u w:val="single"/>
          <w:lang w:val="en-IE"/>
        </w:rPr>
      </w:pPr>
      <w:r w:rsidRPr="001B7D50">
        <w:rPr>
          <w:u w:val="single"/>
          <w:lang w:val="en-IE"/>
        </w:rPr>
        <w:t xml:space="preserve">What is not an affiliated entity? </w:t>
      </w:r>
    </w:p>
    <w:p w14:paraId="2961FDD1" w14:textId="77777777" w:rsidR="005E7A18" w:rsidRPr="00593829" w:rsidRDefault="005E7A18" w:rsidP="00F36C74">
      <w:pPr>
        <w:spacing w:after="120" w:line="240" w:lineRule="atLeast"/>
      </w:pPr>
      <w:r w:rsidRPr="00593829">
        <w:t xml:space="preserve">The following are not </w:t>
      </w:r>
      <w:r w:rsidR="006765B7" w:rsidRPr="00593829">
        <w:t xml:space="preserve">considered </w:t>
      </w:r>
      <w:r w:rsidRPr="00593829">
        <w:t>entities affiliated to a</w:t>
      </w:r>
      <w:r w:rsidR="000043F8">
        <w:t>n applicant</w:t>
      </w:r>
      <w:r w:rsidRPr="00593829">
        <w:t>:</w:t>
      </w:r>
    </w:p>
    <w:p w14:paraId="2F5313DE" w14:textId="77777777" w:rsidR="005E7A18" w:rsidRPr="00593829" w:rsidRDefault="005E7A18" w:rsidP="00F61F60">
      <w:pPr>
        <w:numPr>
          <w:ilvl w:val="0"/>
          <w:numId w:val="22"/>
        </w:numPr>
        <w:spacing w:after="120" w:line="240" w:lineRule="atLeast"/>
      </w:pPr>
      <w:r w:rsidRPr="00593829">
        <w:t xml:space="preserve">Entities that have </w:t>
      </w:r>
      <w:proofErr w:type="gramStart"/>
      <w:r w:rsidRPr="00593829">
        <w:t>entered into</w:t>
      </w:r>
      <w:proofErr w:type="gramEnd"/>
      <w:r w:rsidRPr="00593829">
        <w:t xml:space="preserve"> a (procurement) contract or subcontract with </w:t>
      </w:r>
      <w:r w:rsidR="000043F8">
        <w:t>an applicant</w:t>
      </w:r>
      <w:r w:rsidRPr="00593829">
        <w:t xml:space="preserve">, act as concessionaires or </w:t>
      </w:r>
      <w:proofErr w:type="spellStart"/>
      <w:r w:rsidRPr="00593829">
        <w:t>delegatees</w:t>
      </w:r>
      <w:proofErr w:type="spellEnd"/>
      <w:r w:rsidRPr="00593829">
        <w:t xml:space="preserve"> for public services for a</w:t>
      </w:r>
      <w:r w:rsidR="000043F8">
        <w:t>n applicant</w:t>
      </w:r>
      <w:r w:rsidRPr="00593829">
        <w:t>,</w:t>
      </w:r>
    </w:p>
    <w:p w14:paraId="212DF66E" w14:textId="77777777" w:rsidR="005E7A18" w:rsidRPr="00593829" w:rsidRDefault="005E7A18" w:rsidP="00F61F60">
      <w:pPr>
        <w:numPr>
          <w:ilvl w:val="0"/>
          <w:numId w:val="22"/>
        </w:numPr>
        <w:spacing w:after="120" w:line="240" w:lineRule="atLeast"/>
      </w:pPr>
      <w:r w:rsidRPr="00593829">
        <w:t xml:space="preserve">Entities that receive financial support from the </w:t>
      </w:r>
      <w:r w:rsidR="000043F8">
        <w:t>applicant</w:t>
      </w:r>
      <w:r w:rsidRPr="00593829">
        <w:t>,</w:t>
      </w:r>
    </w:p>
    <w:p w14:paraId="7B539813" w14:textId="77777777" w:rsidR="005E7A18" w:rsidRPr="00593829" w:rsidRDefault="005E7A18" w:rsidP="00F61F60">
      <w:pPr>
        <w:numPr>
          <w:ilvl w:val="0"/>
          <w:numId w:val="22"/>
        </w:numPr>
        <w:spacing w:after="120" w:line="240" w:lineRule="atLeast"/>
      </w:pPr>
      <w:r w:rsidRPr="00593829">
        <w:t xml:space="preserve">Entities that cooperate on a regular basis with </w:t>
      </w:r>
      <w:r w:rsidR="00F72E51">
        <w:t>an applicant</w:t>
      </w:r>
      <w:r w:rsidRPr="00593829">
        <w:t xml:space="preserve"> </w:t>
      </w:r>
      <w:proofErr w:type="gramStart"/>
      <w:r w:rsidRPr="00593829">
        <w:t>on the basis of</w:t>
      </w:r>
      <w:proofErr w:type="gramEnd"/>
      <w:r w:rsidRPr="00593829">
        <w:t xml:space="preserve"> a memorandum of understanding or share some assets,</w:t>
      </w:r>
    </w:p>
    <w:p w14:paraId="50FE00FF" w14:textId="77777777" w:rsidR="005E7A18" w:rsidRPr="00593829" w:rsidRDefault="005E7A18" w:rsidP="00F61F60">
      <w:pPr>
        <w:numPr>
          <w:ilvl w:val="0"/>
          <w:numId w:val="22"/>
        </w:numPr>
        <w:spacing w:after="120" w:line="240" w:lineRule="atLeast"/>
      </w:pPr>
      <w:r w:rsidRPr="00593829">
        <w:t>Entities that have signed a consortium agreement under the grant contract</w:t>
      </w:r>
      <w:r w:rsidR="002A66CB">
        <w:t xml:space="preserve"> (unless this consortium agreement leads to the creation of a </w:t>
      </w:r>
      <w:r w:rsidR="000D7ACD">
        <w:t>‘</w:t>
      </w:r>
      <w:r w:rsidR="002A66CB">
        <w:t>sole applicant</w:t>
      </w:r>
      <w:r w:rsidR="000D7ACD">
        <w:t>’</w:t>
      </w:r>
      <w:r w:rsidR="002A66CB">
        <w:t xml:space="preserve"> as described above)</w:t>
      </w:r>
      <w:r w:rsidRPr="00593829">
        <w:t>.</w:t>
      </w:r>
    </w:p>
    <w:p w14:paraId="3B790649" w14:textId="77777777" w:rsidR="005E7A18" w:rsidRPr="00593829" w:rsidRDefault="005E7A18" w:rsidP="001B7D50">
      <w:pPr>
        <w:spacing w:after="120" w:line="240" w:lineRule="atLeast"/>
        <w:rPr>
          <w:u w:val="single"/>
        </w:rPr>
      </w:pPr>
      <w:r w:rsidRPr="00593829">
        <w:rPr>
          <w:u w:val="single"/>
        </w:rPr>
        <w:t xml:space="preserve">How to verify the existence of the required link with </w:t>
      </w:r>
      <w:r w:rsidR="000043F8">
        <w:rPr>
          <w:u w:val="single"/>
        </w:rPr>
        <w:t>an applicant</w:t>
      </w:r>
      <w:r w:rsidRPr="00593829">
        <w:rPr>
          <w:u w:val="single"/>
        </w:rPr>
        <w:t>?</w:t>
      </w:r>
    </w:p>
    <w:p w14:paraId="2CF2FB95" w14:textId="77777777" w:rsidR="005E7A18" w:rsidRPr="00593829" w:rsidRDefault="005E7A18" w:rsidP="001B7D50">
      <w:pPr>
        <w:spacing w:after="120" w:line="240" w:lineRule="atLeast"/>
        <w:ind w:left="8"/>
      </w:pPr>
      <w:r w:rsidRPr="00593829">
        <w:t xml:space="preserve">The affiliation resulting from control may </w:t>
      </w:r>
      <w:proofErr w:type="gramStart"/>
      <w:r w:rsidR="00805526" w:rsidRPr="00593829">
        <w:t xml:space="preserve">in particular </w:t>
      </w:r>
      <w:r w:rsidRPr="00593829">
        <w:t>be</w:t>
      </w:r>
      <w:proofErr w:type="gramEnd"/>
      <w:r w:rsidRPr="00593829">
        <w:t xml:space="preserve"> proved </w:t>
      </w:r>
      <w:proofErr w:type="gramStart"/>
      <w:r w:rsidRPr="00593829">
        <w:t>on the basis of</w:t>
      </w:r>
      <w:proofErr w:type="gramEnd"/>
      <w:r w:rsidRPr="00593829">
        <w:t xml:space="preserve"> the consolidated accounts of the group of entities the </w:t>
      </w:r>
      <w:r w:rsidR="000043F8">
        <w:t xml:space="preserve">applicant </w:t>
      </w:r>
      <w:r w:rsidRPr="00593829">
        <w:t>and its proposed affiliates belong to.</w:t>
      </w:r>
    </w:p>
    <w:p w14:paraId="00AA4D89" w14:textId="77777777" w:rsidR="005E7A18" w:rsidRPr="00593829" w:rsidRDefault="005E7A18" w:rsidP="001B7D50">
      <w:pPr>
        <w:spacing w:after="120" w:line="240" w:lineRule="atLeast"/>
      </w:pPr>
      <w:r w:rsidRPr="00593829">
        <w:t xml:space="preserve">The affiliation resulting from membership may </w:t>
      </w:r>
      <w:proofErr w:type="gramStart"/>
      <w:r w:rsidR="00805526" w:rsidRPr="00593829">
        <w:t xml:space="preserve">in particular </w:t>
      </w:r>
      <w:r w:rsidRPr="00593829">
        <w:t>be</w:t>
      </w:r>
      <w:proofErr w:type="gramEnd"/>
      <w:r w:rsidRPr="00593829">
        <w:t xml:space="preserve"> proved </w:t>
      </w:r>
      <w:proofErr w:type="gramStart"/>
      <w:r w:rsidRPr="00593829">
        <w:t>on the basis of</w:t>
      </w:r>
      <w:proofErr w:type="gramEnd"/>
      <w:r w:rsidRPr="00593829">
        <w:t xml:space="preserve"> the statutes or equivalent act establishing the entity (network, federation, association) which the </w:t>
      </w:r>
      <w:r w:rsidR="000043F8">
        <w:t xml:space="preserve">applicant </w:t>
      </w:r>
      <w:r w:rsidRPr="00593829">
        <w:t xml:space="preserve">constitutes or in which the </w:t>
      </w:r>
      <w:r w:rsidR="000043F8">
        <w:t xml:space="preserve">applicant </w:t>
      </w:r>
      <w:r w:rsidRPr="00593829">
        <w:t>participates.</w:t>
      </w:r>
    </w:p>
    <w:p w14:paraId="206D4269" w14:textId="77777777" w:rsidR="00F012FD" w:rsidRPr="00593829" w:rsidRDefault="007261B1" w:rsidP="00F36C74">
      <w:pPr>
        <w:spacing w:after="120" w:line="240" w:lineRule="atLeast"/>
      </w:pPr>
      <w:r w:rsidRPr="00593829">
        <w:t xml:space="preserve">If the applicants are awarded a </w:t>
      </w:r>
      <w:r w:rsidR="002A66CB">
        <w:t xml:space="preserve">grant </w:t>
      </w:r>
      <w:r w:rsidRPr="00593829">
        <w:t>contract, their affiliated entity(</w:t>
      </w:r>
      <w:proofErr w:type="spellStart"/>
      <w:r w:rsidRPr="00593829">
        <w:t>ies</w:t>
      </w:r>
      <w:proofErr w:type="spellEnd"/>
      <w:r w:rsidRPr="00593829">
        <w:t xml:space="preserve">) will not become </w:t>
      </w:r>
      <w:r w:rsidR="00176B31">
        <w:t>b</w:t>
      </w:r>
      <w:r w:rsidRPr="00593829">
        <w:t>eneficiary(</w:t>
      </w:r>
      <w:proofErr w:type="spellStart"/>
      <w:r w:rsidRPr="00593829">
        <w:t>ies</w:t>
      </w:r>
      <w:proofErr w:type="spellEnd"/>
      <w:r w:rsidRPr="00593829">
        <w:t xml:space="preserve">) of the </w:t>
      </w:r>
      <w:r w:rsidR="00176B31">
        <w:t>a</w:t>
      </w:r>
      <w:r w:rsidRPr="00593829">
        <w:t>ction and signatory(</w:t>
      </w:r>
      <w:proofErr w:type="spellStart"/>
      <w:r w:rsidRPr="00593829">
        <w:t>ies</w:t>
      </w:r>
      <w:proofErr w:type="spellEnd"/>
      <w:r w:rsidRPr="00593829">
        <w:t xml:space="preserve">) of the </w:t>
      </w:r>
      <w:r w:rsidR="00176B31">
        <w:t>g</w:t>
      </w:r>
      <w:r w:rsidR="00A155DA" w:rsidRPr="00593829">
        <w:t xml:space="preserve">rant </w:t>
      </w:r>
      <w:r w:rsidR="00176B31">
        <w:t>c</w:t>
      </w:r>
      <w:r w:rsidRPr="00593829">
        <w:t xml:space="preserve">ontract. However, they will participate in the design </w:t>
      </w:r>
      <w:proofErr w:type="gramStart"/>
      <w:r w:rsidRPr="00593829">
        <w:t>and  in</w:t>
      </w:r>
      <w:proofErr w:type="gramEnd"/>
      <w:r w:rsidRPr="00593829">
        <w:t xml:space="preserve"> the implementation of the </w:t>
      </w:r>
      <w:r w:rsidR="00176B31">
        <w:t>a</w:t>
      </w:r>
      <w:r w:rsidRPr="00593829">
        <w:t xml:space="preserve">ction and the costs they incur (including those incurred for </w:t>
      </w:r>
      <w:r w:rsidR="00176B31">
        <w:t>i</w:t>
      </w:r>
      <w:r w:rsidRPr="00593829">
        <w:t xml:space="preserve">mplementation </w:t>
      </w:r>
      <w:r w:rsidR="00176B31">
        <w:t>c</w:t>
      </w:r>
      <w:r w:rsidRPr="00593829">
        <w:t xml:space="preserve">ontracts and </w:t>
      </w:r>
      <w:r w:rsidR="00176B31">
        <w:t>f</w:t>
      </w:r>
      <w:r w:rsidRPr="00593829">
        <w:t xml:space="preserve">inancial </w:t>
      </w:r>
      <w:r w:rsidR="00176B31">
        <w:t>s</w:t>
      </w:r>
      <w:r w:rsidRPr="00593829">
        <w:t>upport to third parties</w:t>
      </w:r>
      <w:r w:rsidR="00ED7CB2">
        <w:t xml:space="preserve"> and subcontractors</w:t>
      </w:r>
      <w:r w:rsidRPr="00593829">
        <w:t xml:space="preserve">) may be accepted as eligible costs, provided they comply with all the relevant rules already applicable to the </w:t>
      </w:r>
      <w:r w:rsidR="00176B31">
        <w:t>b</w:t>
      </w:r>
      <w:r w:rsidRPr="00593829">
        <w:t>eneficiary(</w:t>
      </w:r>
      <w:proofErr w:type="spellStart"/>
      <w:r w:rsidRPr="00593829">
        <w:t>ies</w:t>
      </w:r>
      <w:proofErr w:type="spellEnd"/>
      <w:r w:rsidRPr="00593829">
        <w:t xml:space="preserve">) under the </w:t>
      </w:r>
      <w:r w:rsidR="00176B31">
        <w:t>g</w:t>
      </w:r>
      <w:r w:rsidRPr="00593829">
        <w:t xml:space="preserve">rant </w:t>
      </w:r>
      <w:r w:rsidR="00176B31">
        <w:t>c</w:t>
      </w:r>
      <w:r w:rsidRPr="00593829">
        <w:t>ontract.</w:t>
      </w:r>
    </w:p>
    <w:p w14:paraId="1A996E1F" w14:textId="77777777" w:rsidR="00A33882" w:rsidRPr="00807DAF" w:rsidRDefault="00914462" w:rsidP="00F36C74">
      <w:pPr>
        <w:spacing w:after="120" w:line="240" w:lineRule="atLeast"/>
      </w:pPr>
      <w:r w:rsidRPr="00593829">
        <w:lastRenderedPageBreak/>
        <w:t>Affiliated entity(</w:t>
      </w:r>
      <w:proofErr w:type="spellStart"/>
      <w:r w:rsidRPr="00593829">
        <w:t>ies</w:t>
      </w:r>
      <w:proofErr w:type="spellEnd"/>
      <w:r w:rsidRPr="00593829">
        <w:t xml:space="preserve">) must satisfy the </w:t>
      </w:r>
      <w:r w:rsidR="00DD5D23" w:rsidRPr="00593829">
        <w:t xml:space="preserve">same </w:t>
      </w:r>
      <w:r w:rsidRPr="00593829">
        <w:t xml:space="preserve">eligibility criteria as the </w:t>
      </w:r>
      <w:r w:rsidR="00BD53D5">
        <w:t>lead a</w:t>
      </w:r>
      <w:r w:rsidRPr="00593829">
        <w:t xml:space="preserve">pplicant and the co-applicant(s). </w:t>
      </w:r>
      <w:r w:rsidR="00DD5D23" w:rsidRPr="00593829">
        <w:t xml:space="preserve"> T</w:t>
      </w:r>
      <w:r w:rsidR="007261B1" w:rsidRPr="00593829">
        <w:t>hey</w:t>
      </w:r>
      <w:r w:rsidR="00A33882" w:rsidRPr="00593829">
        <w:t xml:space="preserve"> must sign the affiliated entity(</w:t>
      </w:r>
      <w:proofErr w:type="spellStart"/>
      <w:r w:rsidR="00A33882" w:rsidRPr="00593829">
        <w:t>ies</w:t>
      </w:r>
      <w:proofErr w:type="spellEnd"/>
      <w:r w:rsidR="00A33882" w:rsidRPr="00593829">
        <w:t xml:space="preserve">) statement in </w:t>
      </w:r>
      <w:r w:rsidR="00964FB0">
        <w:t>Annex A</w:t>
      </w:r>
      <w:r w:rsidR="00F43773">
        <w:t>.</w:t>
      </w:r>
      <w:r w:rsidR="00964FB0">
        <w:t>2</w:t>
      </w:r>
      <w:r w:rsidR="00A33882" w:rsidRPr="00593829">
        <w:t xml:space="preserve"> </w:t>
      </w:r>
      <w:r w:rsidR="00B01659">
        <w:t>S</w:t>
      </w:r>
      <w:r w:rsidR="00A33882" w:rsidRPr="00593829">
        <w:t>ection 5.</w:t>
      </w:r>
    </w:p>
    <w:p w14:paraId="3E1DEB4D" w14:textId="77777777" w:rsidR="00F06309" w:rsidRPr="00807DAF" w:rsidRDefault="00F06309" w:rsidP="00F61F60">
      <w:pPr>
        <w:pStyle w:val="Guidelines3"/>
        <w:numPr>
          <w:ilvl w:val="2"/>
          <w:numId w:val="6"/>
        </w:numPr>
      </w:pPr>
      <w:bookmarkStart w:id="13" w:name="_Toc380145061"/>
      <w:bookmarkStart w:id="14" w:name="_Toc185257673"/>
      <w:bookmarkEnd w:id="13"/>
      <w:r w:rsidRPr="00807DAF">
        <w:t>Associates</w:t>
      </w:r>
      <w:r w:rsidR="00F77C37">
        <w:t xml:space="preserve">, </w:t>
      </w:r>
      <w:r w:rsidR="000D7ACD">
        <w:t>c</w:t>
      </w:r>
      <w:r w:rsidRPr="00807DAF">
        <w:t>ontractors</w:t>
      </w:r>
      <w:r w:rsidR="00F77C37">
        <w:t>, recipients of financial support</w:t>
      </w:r>
      <w:bookmarkEnd w:id="14"/>
    </w:p>
    <w:p w14:paraId="1CD8CE17" w14:textId="77777777" w:rsidR="00F06309" w:rsidRPr="00807DAF" w:rsidRDefault="00F06309" w:rsidP="00F36C74">
      <w:pPr>
        <w:spacing w:after="120" w:line="240" w:lineRule="atLeast"/>
      </w:pPr>
      <w:r w:rsidRPr="00807DAF">
        <w:t xml:space="preserve">The following entities are not applicants nor affiliated entities and do not have to sign the </w:t>
      </w:r>
      <w:r w:rsidR="000D7ACD">
        <w:t>‘</w:t>
      </w:r>
      <w:r w:rsidR="00176B31">
        <w:t>m</w:t>
      </w:r>
      <w:r w:rsidRPr="00807DAF">
        <w:t>andate</w:t>
      </w:r>
      <w:r w:rsidR="001F6434">
        <w:t xml:space="preserve"> for </w:t>
      </w:r>
      <w:r w:rsidR="00176B31">
        <w:t>c</w:t>
      </w:r>
      <w:r w:rsidR="001F6434">
        <w:t>o-applicant(s)</w:t>
      </w:r>
      <w:r w:rsidR="000D7ACD">
        <w:t>’</w:t>
      </w:r>
      <w:r w:rsidRPr="00807DAF">
        <w:t xml:space="preserve"> or </w:t>
      </w:r>
      <w:r w:rsidR="000D7ACD">
        <w:t>‘</w:t>
      </w:r>
      <w:r w:rsidRPr="00807DAF">
        <w:t>affiliated entities' statement:</w:t>
      </w:r>
    </w:p>
    <w:p w14:paraId="446713BC" w14:textId="77777777" w:rsidR="00F06309" w:rsidRPr="00807DAF" w:rsidRDefault="00F06309" w:rsidP="00F61F60">
      <w:pPr>
        <w:numPr>
          <w:ilvl w:val="0"/>
          <w:numId w:val="11"/>
        </w:numPr>
        <w:spacing w:after="120" w:line="240" w:lineRule="atLeast"/>
      </w:pPr>
      <w:r w:rsidRPr="00807DAF">
        <w:t>Associates</w:t>
      </w:r>
    </w:p>
    <w:p w14:paraId="416CE2CC" w14:textId="77777777" w:rsidR="00F06309" w:rsidRPr="00807DAF" w:rsidRDefault="00F06309" w:rsidP="00F36C74">
      <w:pPr>
        <w:spacing w:after="120" w:line="240" w:lineRule="atLeast"/>
      </w:pPr>
      <w:r w:rsidRPr="00807DAF">
        <w:t xml:space="preserve">Other organisations </w:t>
      </w:r>
      <w:r w:rsidR="00E61D38">
        <w:t xml:space="preserve">or individuals </w:t>
      </w:r>
      <w:r w:rsidRPr="00807DAF">
        <w:t xml:space="preserve">may be involved in the action. Such associates play a real role in the action but may not receive funding from the grant, </w:t>
      </w:r>
      <w:proofErr w:type="gramStart"/>
      <w:r w:rsidRPr="00807DAF">
        <w:t>with the exception of</w:t>
      </w:r>
      <w:proofErr w:type="gramEnd"/>
      <w:r w:rsidRPr="00807DAF">
        <w:t xml:space="preserve"> per diem or travel costs. Associates do not have to meet the eligibility criteria referred to in </w:t>
      </w:r>
      <w:r w:rsidR="000D7ACD">
        <w:t>S</w:t>
      </w:r>
      <w:r w:rsidRPr="00807DAF">
        <w:t xml:space="preserve">ection 2.1.1. Associates must be mentioned in </w:t>
      </w:r>
      <w:r w:rsidR="00964FB0">
        <w:t>Annex A</w:t>
      </w:r>
      <w:r w:rsidR="00F43773">
        <w:t>.</w:t>
      </w:r>
      <w:r w:rsidR="00964FB0">
        <w:t>2</w:t>
      </w:r>
      <w:r w:rsidRPr="00807DAF">
        <w:t xml:space="preserve"> </w:t>
      </w:r>
      <w:r w:rsidR="00B01659">
        <w:t>S</w:t>
      </w:r>
      <w:r w:rsidRPr="00807DAF">
        <w:t xml:space="preserve">ection </w:t>
      </w:r>
      <w:r w:rsidR="00964FB0">
        <w:t>4</w:t>
      </w:r>
      <w:r w:rsidRPr="00807DAF">
        <w:t xml:space="preserve"> — ‘Associates participating in the </w:t>
      </w:r>
      <w:r w:rsidR="00176B31">
        <w:t>a</w:t>
      </w:r>
      <w:r w:rsidRPr="00807DAF">
        <w:t xml:space="preserve">ction’. </w:t>
      </w:r>
    </w:p>
    <w:p w14:paraId="09457B3D" w14:textId="77777777" w:rsidR="00103811" w:rsidRPr="00807DAF" w:rsidRDefault="00103811" w:rsidP="00F61F60">
      <w:pPr>
        <w:numPr>
          <w:ilvl w:val="0"/>
          <w:numId w:val="11"/>
        </w:numPr>
        <w:spacing w:after="120" w:line="240" w:lineRule="atLeast"/>
      </w:pPr>
      <w:r w:rsidRPr="00807DAF">
        <w:t>Contractors</w:t>
      </w:r>
    </w:p>
    <w:p w14:paraId="49957F71" w14:textId="77777777" w:rsidR="00F06309" w:rsidRDefault="00F06309" w:rsidP="00F36C74">
      <w:pPr>
        <w:spacing w:after="120" w:line="240" w:lineRule="atLeast"/>
      </w:pPr>
      <w:r w:rsidRPr="00807DAF">
        <w:t>The beneficiaries and their affiliated entities are permitted to award contracts</w:t>
      </w:r>
      <w:r w:rsidR="0045119A">
        <w:t xml:space="preserve"> </w:t>
      </w:r>
      <w:bookmarkStart w:id="15" w:name="_Hlk163805681"/>
      <w:bookmarkStart w:id="16" w:name="_Hlk163812395"/>
      <w:r w:rsidR="0045119A">
        <w:t>(subcontracting or implementation contracts)</w:t>
      </w:r>
      <w:r w:rsidRPr="00807DAF">
        <w:t xml:space="preserve">. </w:t>
      </w:r>
      <w:r w:rsidR="0045119A">
        <w:t xml:space="preserve">Beneficiaries, </w:t>
      </w:r>
      <w:bookmarkEnd w:id="15"/>
      <w:r w:rsidRPr="00807DAF">
        <w:t>affiliated entity(</w:t>
      </w:r>
      <w:proofErr w:type="spellStart"/>
      <w:r w:rsidRPr="00807DAF">
        <w:t>ies</w:t>
      </w:r>
      <w:proofErr w:type="spellEnd"/>
      <w:r w:rsidRPr="00807DAF">
        <w:t>)</w:t>
      </w:r>
      <w:r w:rsidR="0045119A">
        <w:t>, recipients of financial support or associates</w:t>
      </w:r>
      <w:bookmarkEnd w:id="16"/>
      <w:r w:rsidR="0045119A">
        <w:t xml:space="preserve"> </w:t>
      </w:r>
      <w:r w:rsidRPr="00807DAF">
        <w:t>cannot be also contractors in the project. Contractors are subject to the procurement rules set out in Annex IV to the standard grant contract.</w:t>
      </w:r>
    </w:p>
    <w:p w14:paraId="0746F94E" w14:textId="77777777" w:rsidR="00F77C37" w:rsidRDefault="00F77C37" w:rsidP="00F61F60">
      <w:pPr>
        <w:numPr>
          <w:ilvl w:val="0"/>
          <w:numId w:val="26"/>
        </w:numPr>
        <w:spacing w:after="120" w:line="240" w:lineRule="atLeast"/>
      </w:pPr>
      <w:bookmarkStart w:id="17" w:name="_Hlk163812409"/>
      <w:bookmarkStart w:id="18" w:name="_Hlk163805726"/>
      <w:r>
        <w:t>Recipients of financial support</w:t>
      </w:r>
    </w:p>
    <w:p w14:paraId="48D6E45A" w14:textId="77777777" w:rsidR="00F77C37" w:rsidRDefault="00F77C37" w:rsidP="001417D6">
      <w:pPr>
        <w:spacing w:after="240" w:line="240" w:lineRule="atLeast"/>
      </w:pPr>
      <w:r>
        <w:t>If allowed by the call for proposals, and under the conditions laid herein</w:t>
      </w:r>
      <w:r w:rsidR="00993186">
        <w:t xml:space="preserve"> and in the grant contract</w:t>
      </w:r>
      <w:r>
        <w:t xml:space="preserve">, the beneficiaries and their affiliated are permitted to provide financial support to other third parties. </w:t>
      </w:r>
      <w:r w:rsidR="0045119A" w:rsidRPr="0045119A">
        <w:t xml:space="preserve">These third parties are neither </w:t>
      </w:r>
      <w:r w:rsidR="0045119A">
        <w:t xml:space="preserve">beneficiaries, </w:t>
      </w:r>
      <w:r w:rsidR="0045119A" w:rsidRPr="0045119A">
        <w:t>affiliated entity(</w:t>
      </w:r>
      <w:proofErr w:type="spellStart"/>
      <w:r w:rsidR="0045119A" w:rsidRPr="0045119A">
        <w:t>ies</w:t>
      </w:r>
      <w:proofErr w:type="spellEnd"/>
      <w:r w:rsidR="0045119A" w:rsidRPr="0045119A">
        <w:t>) nor associates nor contractors.</w:t>
      </w:r>
    </w:p>
    <w:p w14:paraId="77032151" w14:textId="77777777" w:rsidR="0045119A" w:rsidRPr="0045119A" w:rsidRDefault="0045119A" w:rsidP="001B7D50">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120" w:line="240" w:lineRule="atLeast"/>
        <w:rPr>
          <w:lang w:eastAsia="en-GB"/>
        </w:rPr>
      </w:pPr>
      <w:r w:rsidRPr="0045119A">
        <w:rPr>
          <w:lang w:val="en-IE" w:eastAsia="en-GB"/>
        </w:rPr>
        <w:t>Each actor should only participate in a single role in an action. This is to avoid any potential conflicts of interest and ensure clear allocation of rights and obligations as well as certainty on cost eligibility.</w:t>
      </w:r>
    </w:p>
    <w:p w14:paraId="4E220B59" w14:textId="77777777" w:rsidR="0007408E" w:rsidRPr="00807DAF" w:rsidRDefault="0007408E" w:rsidP="00F61F60">
      <w:pPr>
        <w:pStyle w:val="Guidelines3"/>
        <w:numPr>
          <w:ilvl w:val="2"/>
          <w:numId w:val="6"/>
        </w:numPr>
      </w:pPr>
      <w:bookmarkStart w:id="19" w:name="_Toc380145063"/>
      <w:bookmarkStart w:id="20" w:name="_Toc380145064"/>
      <w:bookmarkStart w:id="21" w:name="_Toc185257674"/>
      <w:bookmarkEnd w:id="17"/>
      <w:bookmarkEnd w:id="18"/>
      <w:bookmarkEnd w:id="19"/>
      <w:bookmarkEnd w:id="20"/>
      <w:r w:rsidRPr="00807DAF">
        <w:t>Eligible actions: actions for which an application may be made</w:t>
      </w:r>
      <w:bookmarkEnd w:id="21"/>
    </w:p>
    <w:p w14:paraId="0B1A36F8" w14:textId="77777777" w:rsidR="009B41E2" w:rsidRPr="00807DAF" w:rsidRDefault="002265E1" w:rsidP="00F36C74">
      <w:pPr>
        <w:spacing w:after="120" w:line="240" w:lineRule="atLeast"/>
      </w:pPr>
      <w:r w:rsidRPr="00807DAF">
        <w:t xml:space="preserve">Definition: </w:t>
      </w:r>
    </w:p>
    <w:p w14:paraId="07BB6F36" w14:textId="77777777" w:rsidR="002265E1" w:rsidRPr="00807DAF" w:rsidRDefault="002265E1" w:rsidP="00F36C74">
      <w:pPr>
        <w:spacing w:after="120" w:line="240" w:lineRule="atLeast"/>
      </w:pPr>
      <w:r w:rsidRPr="00807DAF">
        <w:t>A</w:t>
      </w:r>
      <w:r w:rsidR="00B526B1" w:rsidRPr="00807DAF">
        <w:t>n</w:t>
      </w:r>
      <w:r w:rsidRPr="00807DAF">
        <w:t xml:space="preserve"> action is composed </w:t>
      </w:r>
      <w:r w:rsidR="00E16D0E" w:rsidRPr="00807DAF">
        <w:t>of a</w:t>
      </w:r>
      <w:r w:rsidRPr="00807DAF">
        <w:t xml:space="preserve"> set of activities.</w:t>
      </w:r>
    </w:p>
    <w:p w14:paraId="3CA6170D" w14:textId="77777777" w:rsidR="0007408E" w:rsidRPr="001B7D50" w:rsidRDefault="0007408E" w:rsidP="00F36C74">
      <w:pPr>
        <w:spacing w:after="120" w:line="240" w:lineRule="atLeast"/>
        <w:rPr>
          <w:b/>
          <w:bCs/>
        </w:rPr>
      </w:pPr>
      <w:r w:rsidRPr="001B7D50">
        <w:rPr>
          <w:b/>
          <w:bCs/>
        </w:rPr>
        <w:t>Duration</w:t>
      </w:r>
    </w:p>
    <w:p w14:paraId="4ACF1C8C" w14:textId="77777777" w:rsidR="0007408E" w:rsidRPr="00807DAF" w:rsidRDefault="0007408E" w:rsidP="00F36C74">
      <w:pPr>
        <w:spacing w:after="120" w:line="240" w:lineRule="atLeast"/>
      </w:pPr>
      <w:r w:rsidRPr="00807DAF">
        <w:t xml:space="preserve">The </w:t>
      </w:r>
      <w:r w:rsidR="002265E1" w:rsidRPr="00807DAF">
        <w:t xml:space="preserve">initial </w:t>
      </w:r>
      <w:r w:rsidR="00C17825" w:rsidRPr="00807DAF">
        <w:t xml:space="preserve">planned </w:t>
      </w:r>
      <w:r w:rsidRPr="00807DAF">
        <w:t xml:space="preserve">duration of an action </w:t>
      </w:r>
      <w:proofErr w:type="gramStart"/>
      <w:r w:rsidRPr="00807DAF">
        <w:t xml:space="preserve">may not </w:t>
      </w:r>
      <w:r w:rsidR="00C4187C">
        <w:t>may not</w:t>
      </w:r>
      <w:proofErr w:type="gramEnd"/>
      <w:r w:rsidR="00C4187C">
        <w:t xml:space="preserve"> be lower than 30</w:t>
      </w:r>
      <w:r w:rsidR="00C4187C" w:rsidRPr="00C4187C">
        <w:t xml:space="preserve"> months nor exceed </w:t>
      </w:r>
      <w:r w:rsidR="0086374D">
        <w:t>36</w:t>
      </w:r>
      <w:r w:rsidR="00C4187C" w:rsidRPr="00C4187C">
        <w:t xml:space="preserve"> months</w:t>
      </w:r>
      <w:r w:rsidRPr="00817D73">
        <w:t>.</w:t>
      </w:r>
    </w:p>
    <w:p w14:paraId="06870400" w14:textId="77777777" w:rsidR="0007408E" w:rsidRPr="001B7D50" w:rsidRDefault="0007408E" w:rsidP="00F36C74">
      <w:pPr>
        <w:spacing w:after="120" w:line="240" w:lineRule="atLeast"/>
        <w:rPr>
          <w:b/>
          <w:bCs/>
        </w:rPr>
      </w:pPr>
      <w:r w:rsidRPr="001B7D50">
        <w:rPr>
          <w:b/>
          <w:bCs/>
        </w:rPr>
        <w:t>Sectors or themes</w:t>
      </w:r>
    </w:p>
    <w:p w14:paraId="04B11F03" w14:textId="77777777" w:rsidR="00061871" w:rsidRPr="00807DAF" w:rsidRDefault="00C4187C" w:rsidP="00F36C74">
      <w:pPr>
        <w:spacing w:after="120" w:line="240" w:lineRule="atLeast"/>
      </w:pPr>
      <w:r>
        <w:t xml:space="preserve">Please refer to the priority </w:t>
      </w:r>
      <w:r w:rsidR="005202BE">
        <w:t>sectors and lots as provided under section 1.2 of the Guidelines.</w:t>
      </w:r>
    </w:p>
    <w:p w14:paraId="19FF739C" w14:textId="77777777" w:rsidR="0007408E" w:rsidRPr="001B7D50" w:rsidRDefault="0007408E" w:rsidP="00F36C74">
      <w:pPr>
        <w:spacing w:after="120" w:line="240" w:lineRule="atLeast"/>
        <w:rPr>
          <w:b/>
          <w:bCs/>
        </w:rPr>
      </w:pPr>
      <w:r w:rsidRPr="001B7D50">
        <w:rPr>
          <w:b/>
          <w:bCs/>
        </w:rPr>
        <w:t>Location</w:t>
      </w:r>
    </w:p>
    <w:p w14:paraId="69DB8169" w14:textId="77777777" w:rsidR="007577E1" w:rsidRPr="007577E1" w:rsidRDefault="007577E1" w:rsidP="007577E1">
      <w:pPr>
        <w:spacing w:after="120" w:line="240" w:lineRule="atLeast"/>
      </w:pPr>
      <w:r w:rsidRPr="007577E1">
        <w:t>Actions must take place in Ukraine, except in limited cases where some specific activities such as training, advocacy events or other relevant may take place in other countries (including European countries), if duly justified.</w:t>
      </w:r>
    </w:p>
    <w:p w14:paraId="2158EA13" w14:textId="77777777" w:rsidR="0007408E" w:rsidRPr="001B7D50" w:rsidRDefault="0007408E" w:rsidP="00F36C74">
      <w:pPr>
        <w:spacing w:after="120" w:line="240" w:lineRule="atLeast"/>
        <w:rPr>
          <w:b/>
          <w:bCs/>
          <w:szCs w:val="22"/>
        </w:rPr>
      </w:pPr>
      <w:r w:rsidRPr="001B7D50">
        <w:rPr>
          <w:b/>
          <w:bCs/>
          <w:szCs w:val="22"/>
        </w:rPr>
        <w:t>Type</w:t>
      </w:r>
      <w:r w:rsidR="0001485A" w:rsidRPr="001B7D50">
        <w:rPr>
          <w:b/>
          <w:bCs/>
          <w:szCs w:val="22"/>
        </w:rPr>
        <w:t>s</w:t>
      </w:r>
      <w:r w:rsidRPr="001B7D50">
        <w:rPr>
          <w:b/>
          <w:bCs/>
          <w:szCs w:val="22"/>
        </w:rPr>
        <w:t xml:space="preserve"> of action</w:t>
      </w:r>
    </w:p>
    <w:p w14:paraId="6B188EAD" w14:textId="77777777" w:rsidR="00E6394F" w:rsidRDefault="00E6394F" w:rsidP="00E6394F">
      <w:pPr>
        <w:spacing w:after="120" w:line="240" w:lineRule="atLeast"/>
        <w:rPr>
          <w:szCs w:val="22"/>
        </w:rPr>
      </w:pPr>
      <w:r>
        <w:rPr>
          <w:szCs w:val="22"/>
        </w:rPr>
        <w:t>Please refer to indicative priorities mentioned per lot under section 1.2</w:t>
      </w:r>
    </w:p>
    <w:p w14:paraId="28267065" w14:textId="77777777" w:rsidR="004138C7" w:rsidRPr="004138C7" w:rsidRDefault="001429AD" w:rsidP="00E6394F">
      <w:pPr>
        <w:spacing w:after="120" w:line="240" w:lineRule="atLeast"/>
        <w:rPr>
          <w:szCs w:val="22"/>
        </w:rPr>
      </w:pPr>
      <w:r>
        <w:rPr>
          <w:szCs w:val="22"/>
        </w:rPr>
        <w:t>A</w:t>
      </w:r>
      <w:r w:rsidR="004138C7" w:rsidRPr="004138C7">
        <w:rPr>
          <w:szCs w:val="22"/>
        </w:rPr>
        <w:t xml:space="preserve">ctions </w:t>
      </w:r>
      <w:r>
        <w:rPr>
          <w:szCs w:val="22"/>
        </w:rPr>
        <w:t xml:space="preserve">shall </w:t>
      </w:r>
      <w:r w:rsidR="004138C7" w:rsidRPr="004138C7">
        <w:rPr>
          <w:szCs w:val="22"/>
        </w:rPr>
        <w:t>in</w:t>
      </w:r>
      <w:r w:rsidR="004138C7">
        <w:rPr>
          <w:szCs w:val="22"/>
        </w:rPr>
        <w:t>clude, but are not limited to</w:t>
      </w:r>
      <w:r w:rsidR="00E079D5">
        <w:rPr>
          <w:szCs w:val="22"/>
        </w:rPr>
        <w:t xml:space="preserve"> the following</w:t>
      </w:r>
      <w:r w:rsidR="004138C7">
        <w:rPr>
          <w:szCs w:val="22"/>
        </w:rPr>
        <w:t>:</w:t>
      </w:r>
    </w:p>
    <w:p w14:paraId="65B29BBF" w14:textId="77777777" w:rsidR="00E6394F" w:rsidRPr="001429AD" w:rsidRDefault="00E6394F" w:rsidP="00F61F60">
      <w:pPr>
        <w:numPr>
          <w:ilvl w:val="0"/>
          <w:numId w:val="11"/>
        </w:numPr>
        <w:spacing w:after="120" w:line="240" w:lineRule="atLeast"/>
        <w:rPr>
          <w:szCs w:val="22"/>
        </w:rPr>
      </w:pPr>
      <w:r>
        <w:rPr>
          <w:szCs w:val="22"/>
        </w:rPr>
        <w:t>Involvement of and s</w:t>
      </w:r>
      <w:r w:rsidR="004138C7" w:rsidRPr="004138C7">
        <w:rPr>
          <w:szCs w:val="22"/>
        </w:rPr>
        <w:t xml:space="preserve">upport </w:t>
      </w:r>
      <w:r>
        <w:rPr>
          <w:szCs w:val="22"/>
        </w:rPr>
        <w:t xml:space="preserve">to </w:t>
      </w:r>
      <w:r w:rsidRPr="004138C7">
        <w:rPr>
          <w:szCs w:val="22"/>
        </w:rPr>
        <w:t xml:space="preserve">community-based organisations </w:t>
      </w:r>
      <w:r w:rsidR="001429AD">
        <w:rPr>
          <w:szCs w:val="22"/>
        </w:rPr>
        <w:t>through</w:t>
      </w:r>
      <w:r w:rsidR="004138C7" w:rsidRPr="004138C7">
        <w:rPr>
          <w:szCs w:val="22"/>
        </w:rPr>
        <w:t xml:space="preserve"> </w:t>
      </w:r>
      <w:proofErr w:type="spellStart"/>
      <w:r w:rsidR="004138C7" w:rsidRPr="004138C7">
        <w:rPr>
          <w:szCs w:val="22"/>
        </w:rPr>
        <w:t>FSTP</w:t>
      </w:r>
      <w:proofErr w:type="spellEnd"/>
      <w:r w:rsidR="004138C7" w:rsidRPr="004138C7">
        <w:rPr>
          <w:szCs w:val="22"/>
        </w:rPr>
        <w:t xml:space="preserve"> funding</w:t>
      </w:r>
      <w:r w:rsidR="001429AD">
        <w:rPr>
          <w:szCs w:val="22"/>
        </w:rPr>
        <w:t xml:space="preserve"> or other means</w:t>
      </w:r>
      <w:r w:rsidR="004138C7" w:rsidRPr="004138C7">
        <w:rPr>
          <w:szCs w:val="22"/>
        </w:rPr>
        <w:t xml:space="preserve">, coupled with </w:t>
      </w:r>
      <w:r w:rsidR="008B657C">
        <w:rPr>
          <w:szCs w:val="22"/>
        </w:rPr>
        <w:t>mentoring for implementation of t</w:t>
      </w:r>
      <w:r w:rsidR="004138C7" w:rsidRPr="004138C7">
        <w:rPr>
          <w:szCs w:val="22"/>
        </w:rPr>
        <w:t>he organisations' own development strateg</w:t>
      </w:r>
      <w:r w:rsidR="001429AD">
        <w:rPr>
          <w:szCs w:val="22"/>
        </w:rPr>
        <w:t>ies, internal governance structures and financial management</w:t>
      </w:r>
    </w:p>
    <w:p w14:paraId="100DCC0D" w14:textId="77777777" w:rsidR="00E6394F" w:rsidRDefault="00E6394F" w:rsidP="00F61F60">
      <w:pPr>
        <w:numPr>
          <w:ilvl w:val="0"/>
          <w:numId w:val="11"/>
        </w:numPr>
        <w:spacing w:after="120" w:line="240" w:lineRule="atLeast"/>
        <w:rPr>
          <w:szCs w:val="22"/>
        </w:rPr>
      </w:pPr>
      <w:r>
        <w:rPr>
          <w:szCs w:val="22"/>
        </w:rPr>
        <w:t>A</w:t>
      </w:r>
      <w:r w:rsidRPr="004138C7">
        <w:rPr>
          <w:szCs w:val="22"/>
        </w:rPr>
        <w:t xml:space="preserve">ctions oriented to </w:t>
      </w:r>
      <w:r w:rsidR="001429AD">
        <w:rPr>
          <w:szCs w:val="22"/>
        </w:rPr>
        <w:t>strengthen</w:t>
      </w:r>
      <w:r w:rsidRPr="004138C7">
        <w:rPr>
          <w:szCs w:val="22"/>
        </w:rPr>
        <w:t xml:space="preserve"> capacity of </w:t>
      </w:r>
      <w:proofErr w:type="gramStart"/>
      <w:r w:rsidRPr="004138C7">
        <w:rPr>
          <w:szCs w:val="22"/>
        </w:rPr>
        <w:t>community based</w:t>
      </w:r>
      <w:proofErr w:type="gramEnd"/>
      <w:r w:rsidRPr="004138C7">
        <w:rPr>
          <w:szCs w:val="22"/>
        </w:rPr>
        <w:t xml:space="preserve"> organisations</w:t>
      </w:r>
      <w:r>
        <w:rPr>
          <w:szCs w:val="22"/>
        </w:rPr>
        <w:t xml:space="preserve"> </w:t>
      </w:r>
      <w:r w:rsidR="001429AD">
        <w:rPr>
          <w:szCs w:val="22"/>
        </w:rPr>
        <w:t xml:space="preserve">and initiatives, </w:t>
      </w:r>
      <w:r>
        <w:rPr>
          <w:szCs w:val="22"/>
        </w:rPr>
        <w:t>for example to engage with their constituency, provide services or monitor public activities</w:t>
      </w:r>
      <w:r w:rsidR="001429AD">
        <w:rPr>
          <w:szCs w:val="22"/>
        </w:rPr>
        <w:t>, advocacy</w:t>
      </w:r>
      <w:r>
        <w:rPr>
          <w:szCs w:val="22"/>
        </w:rPr>
        <w:t xml:space="preserve"> or other relevant</w:t>
      </w:r>
    </w:p>
    <w:p w14:paraId="7C59C425" w14:textId="77777777" w:rsidR="00C0209F" w:rsidRDefault="00C0209F" w:rsidP="00C0209F">
      <w:pPr>
        <w:spacing w:after="120" w:line="240" w:lineRule="atLeast"/>
        <w:rPr>
          <w:szCs w:val="22"/>
        </w:rPr>
      </w:pPr>
    </w:p>
    <w:p w14:paraId="141584DC" w14:textId="77777777" w:rsidR="00EC27B0" w:rsidRPr="00C0209F" w:rsidRDefault="00EC27B0" w:rsidP="00C0209F">
      <w:pPr>
        <w:spacing w:after="120" w:line="240" w:lineRule="atLeast"/>
        <w:rPr>
          <w:szCs w:val="22"/>
        </w:rPr>
      </w:pPr>
    </w:p>
    <w:p w14:paraId="1AC6ACD7" w14:textId="77777777" w:rsidR="00E1397C" w:rsidRPr="00807DAF" w:rsidRDefault="00E1397C" w:rsidP="00F36C74">
      <w:pPr>
        <w:spacing w:after="120" w:line="240" w:lineRule="atLeast"/>
      </w:pPr>
      <w:r w:rsidRPr="00807DAF">
        <w:lastRenderedPageBreak/>
        <w:t xml:space="preserve">The following types of action are </w:t>
      </w:r>
      <w:r w:rsidRPr="00E6394F">
        <w:rPr>
          <w:b/>
        </w:rPr>
        <w:t>ineligible</w:t>
      </w:r>
      <w:r w:rsidRPr="00807DAF">
        <w:t>:</w:t>
      </w:r>
    </w:p>
    <w:p w14:paraId="52E16F13" w14:textId="77777777" w:rsidR="00E1397C" w:rsidRPr="00807DAF" w:rsidRDefault="00E1397C" w:rsidP="00F61F60">
      <w:pPr>
        <w:numPr>
          <w:ilvl w:val="0"/>
          <w:numId w:val="11"/>
        </w:numPr>
        <w:spacing w:after="120" w:line="240" w:lineRule="atLeast"/>
      </w:pPr>
      <w:r w:rsidRPr="00807DAF">
        <w:t xml:space="preserve">actions concerned only or mainly with individual sponsorships for participation in workshops, seminars, conferences and </w:t>
      </w:r>
      <w:proofErr w:type="gramStart"/>
      <w:r w:rsidRPr="00807DAF">
        <w:t>congresses;</w:t>
      </w:r>
      <w:proofErr w:type="gramEnd"/>
    </w:p>
    <w:p w14:paraId="2D6F03DF" w14:textId="77777777" w:rsidR="00E1397C" w:rsidRDefault="00E1397C" w:rsidP="00F61F60">
      <w:pPr>
        <w:numPr>
          <w:ilvl w:val="0"/>
          <w:numId w:val="11"/>
        </w:numPr>
        <w:spacing w:after="120" w:line="240" w:lineRule="atLeast"/>
      </w:pPr>
      <w:r w:rsidRPr="00807DAF">
        <w:t xml:space="preserve">actions concerned only or mainly with individual scholarships for studies or training </w:t>
      </w:r>
      <w:proofErr w:type="gramStart"/>
      <w:r w:rsidRPr="00807DAF">
        <w:t>courses;</w:t>
      </w:r>
      <w:proofErr w:type="gramEnd"/>
    </w:p>
    <w:p w14:paraId="16F43EEE" w14:textId="77777777" w:rsidR="00A3691F" w:rsidRPr="00807DAF" w:rsidRDefault="00A3691F" w:rsidP="00F61F60">
      <w:pPr>
        <w:numPr>
          <w:ilvl w:val="0"/>
          <w:numId w:val="11"/>
        </w:numPr>
        <w:spacing w:after="120" w:line="240" w:lineRule="atLeast"/>
      </w:pPr>
      <w:r>
        <w:t xml:space="preserve">actions and measures that may result in violation of human rights in partner countries </w:t>
      </w:r>
      <w:r>
        <w:rPr>
          <w:lang w:val="en-IE"/>
        </w:rPr>
        <w:t xml:space="preserve">or causing significant adverse effects on the environment or the </w:t>
      </w:r>
      <w:proofErr w:type="gramStart"/>
      <w:r>
        <w:rPr>
          <w:lang w:val="en-IE"/>
        </w:rPr>
        <w:t>climate;</w:t>
      </w:r>
      <w:proofErr w:type="gramEnd"/>
    </w:p>
    <w:p w14:paraId="331EFDCA" w14:textId="77777777" w:rsidR="005202BE" w:rsidRDefault="005202BE" w:rsidP="00F61F60">
      <w:pPr>
        <w:numPr>
          <w:ilvl w:val="0"/>
          <w:numId w:val="11"/>
        </w:numPr>
        <w:spacing w:after="120" w:line="240" w:lineRule="atLeast"/>
      </w:pPr>
      <w:r>
        <w:t xml:space="preserve">actions essentially focused on construction activities, purchase of equipment, purchase and/or renovation of building or </w:t>
      </w:r>
      <w:proofErr w:type="gramStart"/>
      <w:r>
        <w:t>offices;</w:t>
      </w:r>
      <w:proofErr w:type="gramEnd"/>
    </w:p>
    <w:p w14:paraId="46FAF33E" w14:textId="77777777" w:rsidR="005202BE" w:rsidRDefault="005202BE" w:rsidP="00F61F60">
      <w:pPr>
        <w:numPr>
          <w:ilvl w:val="0"/>
          <w:numId w:val="11"/>
        </w:numPr>
        <w:spacing w:after="120" w:line="240" w:lineRule="atLeast"/>
      </w:pPr>
      <w:r>
        <w:t>actions aiming predominantly at charitable donations and</w:t>
      </w:r>
      <w:r w:rsidR="004138C7">
        <w:t>/ or</w:t>
      </w:r>
      <w:r>
        <w:t xml:space="preserve"> profit making </w:t>
      </w:r>
      <w:proofErr w:type="gramStart"/>
      <w:r>
        <w:t>activities;</w:t>
      </w:r>
      <w:proofErr w:type="gramEnd"/>
    </w:p>
    <w:p w14:paraId="24526898" w14:textId="77777777" w:rsidR="00E6394F" w:rsidRPr="00F1452B" w:rsidRDefault="00E6394F" w:rsidP="00F61F60">
      <w:pPr>
        <w:numPr>
          <w:ilvl w:val="0"/>
          <w:numId w:val="11"/>
        </w:numPr>
        <w:spacing w:after="120" w:line="240" w:lineRule="atLeast"/>
      </w:pPr>
      <w:r w:rsidRPr="00F1452B">
        <w:t xml:space="preserve">actions that aim at promoting </w:t>
      </w:r>
      <w:r w:rsidR="00D32E32" w:rsidRPr="00F1452B">
        <w:t xml:space="preserve">one </w:t>
      </w:r>
      <w:r w:rsidRPr="00F1452B">
        <w:t>specific political parties or political party leaders</w:t>
      </w:r>
      <w:r w:rsidR="00D32E32" w:rsidRPr="00F1452B">
        <w:t xml:space="preserve"> of only one political party/ few political </w:t>
      </w:r>
      <w:proofErr w:type="gramStart"/>
      <w:r w:rsidR="00D32E32" w:rsidRPr="00F1452B">
        <w:t>parties</w:t>
      </w:r>
      <w:r w:rsidRPr="00F1452B">
        <w:t>;</w:t>
      </w:r>
      <w:proofErr w:type="gramEnd"/>
    </w:p>
    <w:p w14:paraId="0883453F" w14:textId="77777777" w:rsidR="0007408E" w:rsidRPr="00F1452B" w:rsidRDefault="005202BE" w:rsidP="00F61F60">
      <w:pPr>
        <w:numPr>
          <w:ilvl w:val="0"/>
          <w:numId w:val="11"/>
        </w:numPr>
        <w:spacing w:after="120" w:line="240" w:lineRule="atLeast"/>
      </w:pPr>
      <w:r w:rsidRPr="00F1452B">
        <w:t xml:space="preserve">actions which are already funded by other Community programmes and </w:t>
      </w:r>
      <w:r w:rsidR="00C0209F" w:rsidRPr="00F1452B">
        <w:t>initiated</w:t>
      </w:r>
      <w:r w:rsidRPr="00F1452B">
        <w:t xml:space="preserve"> before the date of contract signature</w:t>
      </w:r>
      <w:r w:rsidR="004138C7" w:rsidRPr="00F1452B">
        <w:t>.</w:t>
      </w:r>
    </w:p>
    <w:p w14:paraId="4F4964EA" w14:textId="77777777" w:rsidR="004D7B57" w:rsidRPr="001B7D50" w:rsidRDefault="004D7B57" w:rsidP="00F36C74">
      <w:pPr>
        <w:spacing w:after="120" w:line="240" w:lineRule="atLeast"/>
        <w:rPr>
          <w:b/>
          <w:bCs/>
          <w:szCs w:val="22"/>
        </w:rPr>
      </w:pPr>
      <w:r w:rsidRPr="001B7D50">
        <w:rPr>
          <w:b/>
          <w:bCs/>
          <w:szCs w:val="22"/>
        </w:rPr>
        <w:t>Types of activity</w:t>
      </w:r>
    </w:p>
    <w:p w14:paraId="4DB13FF8" w14:textId="77777777" w:rsidR="008B657C" w:rsidRDefault="008B657C" w:rsidP="008B657C">
      <w:pPr>
        <w:spacing w:after="120" w:line="240" w:lineRule="atLeast"/>
        <w:rPr>
          <w:szCs w:val="22"/>
        </w:rPr>
      </w:pPr>
      <w:r w:rsidRPr="008B657C">
        <w:rPr>
          <w:szCs w:val="22"/>
        </w:rPr>
        <w:t>The following types of activities may be financed under this call</w:t>
      </w:r>
      <w:r w:rsidR="003E78E4">
        <w:rPr>
          <w:szCs w:val="22"/>
        </w:rPr>
        <w:t xml:space="preserve"> per lot</w:t>
      </w:r>
      <w:r w:rsidRPr="008B657C">
        <w:rPr>
          <w:szCs w:val="22"/>
        </w:rPr>
        <w:t>. However, the lists are not exhaustive.</w:t>
      </w:r>
    </w:p>
    <w:p w14:paraId="23EFFA91" w14:textId="77777777" w:rsidR="00E079D5" w:rsidRPr="008B657C" w:rsidRDefault="00E079D5" w:rsidP="008B657C">
      <w:pPr>
        <w:spacing w:after="120" w:line="240" w:lineRule="atLeast"/>
        <w:rPr>
          <w:szCs w:val="22"/>
        </w:rPr>
      </w:pPr>
    </w:p>
    <w:p w14:paraId="486C4E9D" w14:textId="77777777" w:rsidR="008B657C" w:rsidRPr="00F1452B" w:rsidRDefault="008B657C" w:rsidP="008B657C">
      <w:pPr>
        <w:spacing w:after="120" w:line="240" w:lineRule="atLeast"/>
        <w:rPr>
          <w:b/>
          <w:bCs/>
          <w:szCs w:val="22"/>
        </w:rPr>
      </w:pPr>
      <w:r w:rsidRPr="008B657C">
        <w:rPr>
          <w:b/>
          <w:bCs/>
          <w:szCs w:val="22"/>
          <w:u w:val="single"/>
        </w:rPr>
        <w:t>Lot 1:</w:t>
      </w:r>
      <w:r w:rsidRPr="008B657C">
        <w:rPr>
          <w:b/>
          <w:bCs/>
          <w:szCs w:val="22"/>
        </w:rPr>
        <w:t xml:space="preserve"> Women/Gender equality </w:t>
      </w:r>
    </w:p>
    <w:p w14:paraId="7E10B0E0" w14:textId="77777777" w:rsidR="008B657C" w:rsidRPr="008B657C" w:rsidRDefault="008B657C" w:rsidP="00F61F60">
      <w:pPr>
        <w:numPr>
          <w:ilvl w:val="0"/>
          <w:numId w:val="30"/>
        </w:numPr>
        <w:spacing w:after="120" w:line="240" w:lineRule="atLeast"/>
        <w:rPr>
          <w:szCs w:val="22"/>
        </w:rPr>
      </w:pPr>
      <w:r w:rsidRPr="008B657C">
        <w:rPr>
          <w:szCs w:val="22"/>
        </w:rPr>
        <w:t xml:space="preserve">Collect high-quality data, monitor, and </w:t>
      </w:r>
      <w:r w:rsidR="00250D7E" w:rsidRPr="008B657C">
        <w:rPr>
          <w:szCs w:val="22"/>
        </w:rPr>
        <w:t>analyse</w:t>
      </w:r>
      <w:r w:rsidRPr="008B657C">
        <w:rPr>
          <w:szCs w:val="22"/>
        </w:rPr>
        <w:t xml:space="preserve"> the state of gender equality and cases of discrimination in Ukraine, to inform e</w:t>
      </w:r>
      <w:r w:rsidR="00C0209F">
        <w:rPr>
          <w:szCs w:val="22"/>
        </w:rPr>
        <w:t>vidence-based action and policy</w:t>
      </w:r>
    </w:p>
    <w:p w14:paraId="615E8B64" w14:textId="77777777" w:rsidR="008B657C" w:rsidRPr="008B657C" w:rsidRDefault="008B657C" w:rsidP="00F61F60">
      <w:pPr>
        <w:numPr>
          <w:ilvl w:val="0"/>
          <w:numId w:val="30"/>
        </w:numPr>
        <w:spacing w:after="120" w:line="240" w:lineRule="atLeast"/>
        <w:rPr>
          <w:szCs w:val="22"/>
        </w:rPr>
      </w:pPr>
      <w:r w:rsidRPr="008B657C">
        <w:rPr>
          <w:szCs w:val="22"/>
        </w:rPr>
        <w:t>Document and report gender-based violence, conflict-related sexual violence, and other human rights violations, to raise public awareness, promote accountability, advance justice and empower survivors</w:t>
      </w:r>
    </w:p>
    <w:p w14:paraId="03166BA6" w14:textId="77777777" w:rsidR="008B657C" w:rsidRPr="008B657C" w:rsidRDefault="008B657C" w:rsidP="00F61F60">
      <w:pPr>
        <w:numPr>
          <w:ilvl w:val="0"/>
          <w:numId w:val="30"/>
        </w:numPr>
        <w:spacing w:after="120" w:line="240" w:lineRule="atLeast"/>
        <w:rPr>
          <w:szCs w:val="22"/>
        </w:rPr>
      </w:pPr>
      <w:r w:rsidRPr="008B657C">
        <w:rPr>
          <w:szCs w:val="22"/>
        </w:rPr>
        <w:t>Support the Government of Ukraine in implementing reforms to reduce discrimination and inequality, including through information-sharing, exchange of expertise; capacity-building, and integration of gender equality-based approac</w:t>
      </w:r>
      <w:r w:rsidR="00C0209F">
        <w:rPr>
          <w:szCs w:val="22"/>
        </w:rPr>
        <w:t>hes into policies and practices</w:t>
      </w:r>
    </w:p>
    <w:p w14:paraId="0E2C7D80" w14:textId="77777777" w:rsidR="008B657C" w:rsidRPr="008B657C" w:rsidRDefault="008B657C" w:rsidP="00F61F60">
      <w:pPr>
        <w:numPr>
          <w:ilvl w:val="0"/>
          <w:numId w:val="30"/>
        </w:numPr>
        <w:spacing w:after="120" w:line="240" w:lineRule="atLeast"/>
        <w:rPr>
          <w:szCs w:val="22"/>
        </w:rPr>
      </w:pPr>
      <w:r w:rsidRPr="008B657C">
        <w:rPr>
          <w:szCs w:val="22"/>
        </w:rPr>
        <w:t>Strengthen professional networks among civil society organizations working on gender equality, with particular emphasis on engaging grassroots organizations and fostering collaboration w</w:t>
      </w:r>
      <w:r w:rsidR="00C0209F">
        <w:rPr>
          <w:szCs w:val="22"/>
        </w:rPr>
        <w:t>ith other relevant stakeholders</w:t>
      </w:r>
    </w:p>
    <w:p w14:paraId="5BD741D6" w14:textId="77777777" w:rsidR="008B657C" w:rsidRPr="008B657C" w:rsidRDefault="008B657C" w:rsidP="00F61F60">
      <w:pPr>
        <w:numPr>
          <w:ilvl w:val="0"/>
          <w:numId w:val="30"/>
        </w:numPr>
        <w:spacing w:after="120" w:line="240" w:lineRule="atLeast"/>
        <w:rPr>
          <w:szCs w:val="22"/>
        </w:rPr>
      </w:pPr>
      <w:r w:rsidRPr="008B657C">
        <w:rPr>
          <w:szCs w:val="22"/>
        </w:rPr>
        <w:t xml:space="preserve">Promote a culture of zero tolerance towards gender-based violence, conflict-related sexual violence, </w:t>
      </w:r>
      <w:r w:rsidR="00C0209F">
        <w:rPr>
          <w:szCs w:val="22"/>
        </w:rPr>
        <w:t>and all forms of discrimination</w:t>
      </w:r>
    </w:p>
    <w:p w14:paraId="6C059145" w14:textId="77777777" w:rsidR="008B657C" w:rsidRPr="008B657C" w:rsidRDefault="008B657C" w:rsidP="00F61F60">
      <w:pPr>
        <w:numPr>
          <w:ilvl w:val="0"/>
          <w:numId w:val="30"/>
        </w:numPr>
        <w:spacing w:after="120" w:line="240" w:lineRule="atLeast"/>
        <w:rPr>
          <w:szCs w:val="22"/>
        </w:rPr>
      </w:pPr>
      <w:r w:rsidRPr="008B657C">
        <w:rPr>
          <w:szCs w:val="22"/>
        </w:rPr>
        <w:t>Support community-based initiatives that advance gender equality and foster equal participation in dec</w:t>
      </w:r>
      <w:r w:rsidR="00C0209F">
        <w:rPr>
          <w:szCs w:val="22"/>
        </w:rPr>
        <w:t>ision-making at the local level</w:t>
      </w:r>
    </w:p>
    <w:p w14:paraId="2CA2FECD" w14:textId="77777777" w:rsidR="008B657C" w:rsidRPr="008B657C" w:rsidRDefault="008B657C" w:rsidP="00F61F60">
      <w:pPr>
        <w:numPr>
          <w:ilvl w:val="0"/>
          <w:numId w:val="30"/>
        </w:numPr>
        <w:spacing w:after="120" w:line="240" w:lineRule="atLeast"/>
        <w:rPr>
          <w:szCs w:val="22"/>
        </w:rPr>
      </w:pPr>
      <w:r w:rsidRPr="008B657C">
        <w:rPr>
          <w:szCs w:val="22"/>
        </w:rPr>
        <w:t>Promote and strengthen women’s leadership, with a focus on increasing representation in professional fields traditionally dominated by me</w:t>
      </w:r>
      <w:r w:rsidR="00C0209F">
        <w:rPr>
          <w:szCs w:val="22"/>
        </w:rPr>
        <w:t>n</w:t>
      </w:r>
    </w:p>
    <w:p w14:paraId="0415C655" w14:textId="77777777" w:rsidR="008B657C" w:rsidRPr="008B657C" w:rsidRDefault="008B657C" w:rsidP="008B657C">
      <w:pPr>
        <w:spacing w:after="120" w:line="240" w:lineRule="atLeast"/>
        <w:rPr>
          <w:b/>
          <w:szCs w:val="22"/>
        </w:rPr>
      </w:pPr>
    </w:p>
    <w:p w14:paraId="526665C6" w14:textId="77777777" w:rsidR="008B657C" w:rsidRPr="008B657C" w:rsidRDefault="008B657C" w:rsidP="008B657C">
      <w:pPr>
        <w:spacing w:after="120" w:line="240" w:lineRule="atLeast"/>
        <w:rPr>
          <w:b/>
          <w:bCs/>
          <w:szCs w:val="22"/>
        </w:rPr>
      </w:pPr>
      <w:r w:rsidRPr="008B657C">
        <w:rPr>
          <w:b/>
          <w:bCs/>
          <w:szCs w:val="22"/>
          <w:u w:val="single"/>
        </w:rPr>
        <w:t>Lot 2:</w:t>
      </w:r>
      <w:r w:rsidRPr="008B657C">
        <w:rPr>
          <w:b/>
          <w:bCs/>
          <w:szCs w:val="22"/>
        </w:rPr>
        <w:t xml:space="preserve"> Media </w:t>
      </w:r>
    </w:p>
    <w:p w14:paraId="3D5B2DED" w14:textId="77777777" w:rsidR="008B657C" w:rsidRPr="008B657C" w:rsidRDefault="008B657C" w:rsidP="00F61F60">
      <w:pPr>
        <w:numPr>
          <w:ilvl w:val="0"/>
          <w:numId w:val="29"/>
        </w:numPr>
        <w:spacing w:after="120" w:line="240" w:lineRule="atLeast"/>
        <w:rPr>
          <w:szCs w:val="22"/>
        </w:rPr>
      </w:pPr>
      <w:r w:rsidRPr="008B657C">
        <w:rPr>
          <w:szCs w:val="22"/>
        </w:rPr>
        <w:t>Conduct analyses and data collection on media trust perception and outreach and/ or issues that have to do with freedom of expression and media regulation</w:t>
      </w:r>
    </w:p>
    <w:p w14:paraId="6DFDC47F" w14:textId="77777777" w:rsidR="008B657C" w:rsidRPr="008B657C" w:rsidRDefault="008B657C" w:rsidP="00F61F60">
      <w:pPr>
        <w:numPr>
          <w:ilvl w:val="0"/>
          <w:numId w:val="29"/>
        </w:numPr>
        <w:spacing w:after="120" w:line="240" w:lineRule="atLeast"/>
        <w:rPr>
          <w:szCs w:val="22"/>
        </w:rPr>
      </w:pPr>
      <w:r w:rsidRPr="008B657C">
        <w:rPr>
          <w:szCs w:val="22"/>
        </w:rPr>
        <w:t>Enable timely and accurate watchdog reporting (including early warning), networking and experience sharing between foreign, national and regional/local actors</w:t>
      </w:r>
    </w:p>
    <w:p w14:paraId="3B682F74" w14:textId="77777777" w:rsidR="008B657C" w:rsidRPr="008B657C" w:rsidRDefault="008B657C" w:rsidP="00F61F60">
      <w:pPr>
        <w:numPr>
          <w:ilvl w:val="0"/>
          <w:numId w:val="29"/>
        </w:numPr>
        <w:spacing w:after="120" w:line="240" w:lineRule="atLeast"/>
        <w:rPr>
          <w:szCs w:val="22"/>
        </w:rPr>
      </w:pPr>
      <w:r w:rsidRPr="008B657C">
        <w:rPr>
          <w:szCs w:val="22"/>
        </w:rPr>
        <w:t>Conduct activities that will lead to increased reporting and production capacities, technical expertise and sector knowledge by civil society and/or journalists carrying out investig</w:t>
      </w:r>
      <w:r w:rsidR="00C0209F">
        <w:rPr>
          <w:szCs w:val="22"/>
        </w:rPr>
        <w:t>ative and monitoring activities</w:t>
      </w:r>
    </w:p>
    <w:p w14:paraId="26F13D99" w14:textId="77777777" w:rsidR="008B657C" w:rsidRPr="008B657C" w:rsidRDefault="008B657C" w:rsidP="00F61F60">
      <w:pPr>
        <w:numPr>
          <w:ilvl w:val="0"/>
          <w:numId w:val="29"/>
        </w:numPr>
        <w:spacing w:after="120" w:line="240" w:lineRule="atLeast"/>
        <w:rPr>
          <w:szCs w:val="22"/>
        </w:rPr>
      </w:pPr>
      <w:r w:rsidRPr="008B657C">
        <w:rPr>
          <w:szCs w:val="22"/>
        </w:rPr>
        <w:t>Support the development and enforcement of professional ethical standards in the media sector</w:t>
      </w:r>
    </w:p>
    <w:p w14:paraId="0FD4E2DD" w14:textId="77777777" w:rsidR="008B657C" w:rsidRPr="008B657C" w:rsidRDefault="008B657C" w:rsidP="00F61F60">
      <w:pPr>
        <w:numPr>
          <w:ilvl w:val="0"/>
          <w:numId w:val="29"/>
        </w:numPr>
        <w:spacing w:after="120" w:line="240" w:lineRule="atLeast"/>
        <w:rPr>
          <w:szCs w:val="22"/>
        </w:rPr>
      </w:pPr>
      <w:r w:rsidRPr="008B657C">
        <w:rPr>
          <w:szCs w:val="22"/>
        </w:rPr>
        <w:t>Support law enforcement and judicial follow-up to investigative/watchdog reporting; provide legal and other forms of assistance to investigative journalists/activists</w:t>
      </w:r>
    </w:p>
    <w:p w14:paraId="750FE850" w14:textId="77777777" w:rsidR="008B657C" w:rsidRPr="008B657C" w:rsidRDefault="008B657C" w:rsidP="00F61F60">
      <w:pPr>
        <w:numPr>
          <w:ilvl w:val="0"/>
          <w:numId w:val="29"/>
        </w:numPr>
        <w:spacing w:after="120" w:line="240" w:lineRule="atLeast"/>
        <w:rPr>
          <w:szCs w:val="22"/>
        </w:rPr>
      </w:pPr>
      <w:r w:rsidRPr="008B657C">
        <w:rPr>
          <w:szCs w:val="22"/>
        </w:rPr>
        <w:lastRenderedPageBreak/>
        <w:t>Stimulate a culture of zero tolerance to corruption and other forms of crime in society</w:t>
      </w:r>
    </w:p>
    <w:p w14:paraId="7E502F75" w14:textId="77777777" w:rsidR="008B657C" w:rsidRPr="008B657C" w:rsidRDefault="008B657C" w:rsidP="00F61F60">
      <w:pPr>
        <w:numPr>
          <w:ilvl w:val="0"/>
          <w:numId w:val="29"/>
        </w:numPr>
        <w:spacing w:after="120" w:line="240" w:lineRule="atLeast"/>
        <w:rPr>
          <w:szCs w:val="22"/>
        </w:rPr>
      </w:pPr>
      <w:r w:rsidRPr="008B657C">
        <w:rPr>
          <w:szCs w:val="22"/>
        </w:rPr>
        <w:t>Strengthen professional investigative journalism and high-quality reporting at the local level</w:t>
      </w:r>
    </w:p>
    <w:p w14:paraId="65399902" w14:textId="77777777" w:rsidR="008B657C" w:rsidRPr="008B657C" w:rsidRDefault="008B657C" w:rsidP="00F61F60">
      <w:pPr>
        <w:numPr>
          <w:ilvl w:val="0"/>
          <w:numId w:val="29"/>
        </w:numPr>
        <w:spacing w:after="120" w:line="240" w:lineRule="atLeast"/>
        <w:rPr>
          <w:szCs w:val="22"/>
        </w:rPr>
      </w:pPr>
      <w:r w:rsidRPr="008B657C">
        <w:rPr>
          <w:szCs w:val="22"/>
        </w:rPr>
        <w:t xml:space="preserve">Support media modernisation and business plan development to increase financial self-sufficiency </w:t>
      </w:r>
    </w:p>
    <w:p w14:paraId="6DAFC527" w14:textId="77777777" w:rsidR="008B657C" w:rsidRPr="008B657C" w:rsidRDefault="008B657C" w:rsidP="00F61F60">
      <w:pPr>
        <w:numPr>
          <w:ilvl w:val="0"/>
          <w:numId w:val="29"/>
        </w:numPr>
        <w:spacing w:after="120" w:line="240" w:lineRule="atLeast"/>
        <w:rPr>
          <w:szCs w:val="22"/>
        </w:rPr>
      </w:pPr>
      <w:r w:rsidRPr="008B657C">
        <w:rPr>
          <w:szCs w:val="22"/>
        </w:rPr>
        <w:t>Develop pilot projects and/or fully fledged mechanisms for establishing a more transparent and reliable audience measurement to attract more advertising investments across different types of media and promote fair competition</w:t>
      </w:r>
    </w:p>
    <w:p w14:paraId="0B2B6ACC" w14:textId="77777777" w:rsidR="008B657C" w:rsidRPr="008B657C" w:rsidRDefault="008B657C" w:rsidP="00F61F60">
      <w:pPr>
        <w:numPr>
          <w:ilvl w:val="0"/>
          <w:numId w:val="29"/>
        </w:numPr>
        <w:spacing w:after="120" w:line="240" w:lineRule="atLeast"/>
        <w:rPr>
          <w:szCs w:val="22"/>
        </w:rPr>
      </w:pPr>
      <w:r w:rsidRPr="008B657C">
        <w:rPr>
          <w:szCs w:val="22"/>
        </w:rPr>
        <w:t xml:space="preserve">Carry out capacity building actions, including trainings, for journalists and other media professionals, to modernise the set of skills of newsroom (including from a technology angle) </w:t>
      </w:r>
    </w:p>
    <w:p w14:paraId="1BACD0E1" w14:textId="77777777" w:rsidR="008B657C" w:rsidRPr="008B657C" w:rsidRDefault="008B657C" w:rsidP="00F61F60">
      <w:pPr>
        <w:numPr>
          <w:ilvl w:val="0"/>
          <w:numId w:val="29"/>
        </w:numPr>
        <w:spacing w:after="120" w:line="240" w:lineRule="atLeast"/>
        <w:rPr>
          <w:szCs w:val="22"/>
        </w:rPr>
      </w:pPr>
      <w:r w:rsidRPr="008B657C">
        <w:rPr>
          <w:szCs w:val="22"/>
        </w:rPr>
        <w:t>Carry out capacity building actions, including trainings, for journalists and other media professionals, to make them better positioned to explain and inform audience</w:t>
      </w:r>
      <w:r w:rsidR="00C0209F">
        <w:rPr>
          <w:szCs w:val="22"/>
        </w:rPr>
        <w:t>s about EU/Ukraine integration</w:t>
      </w:r>
    </w:p>
    <w:p w14:paraId="4FD60721" w14:textId="77777777" w:rsidR="008B657C" w:rsidRDefault="008B657C" w:rsidP="008B657C">
      <w:pPr>
        <w:spacing w:after="120" w:line="240" w:lineRule="atLeast"/>
        <w:rPr>
          <w:b/>
          <w:szCs w:val="22"/>
        </w:rPr>
      </w:pPr>
    </w:p>
    <w:p w14:paraId="18DA58EC" w14:textId="77777777" w:rsidR="008B657C" w:rsidRPr="00F1452B" w:rsidRDefault="008B657C" w:rsidP="008B657C">
      <w:pPr>
        <w:spacing w:after="120" w:line="240" w:lineRule="atLeast"/>
        <w:rPr>
          <w:b/>
          <w:bCs/>
          <w:szCs w:val="22"/>
        </w:rPr>
      </w:pPr>
      <w:r w:rsidRPr="008B657C">
        <w:rPr>
          <w:b/>
          <w:bCs/>
          <w:szCs w:val="22"/>
          <w:u w:val="single"/>
        </w:rPr>
        <w:t>Lot 3:</w:t>
      </w:r>
      <w:r w:rsidRPr="008B657C">
        <w:rPr>
          <w:b/>
          <w:bCs/>
          <w:szCs w:val="22"/>
        </w:rPr>
        <w:t xml:space="preserve"> Human Rights </w:t>
      </w:r>
    </w:p>
    <w:p w14:paraId="0B920312" w14:textId="77777777" w:rsidR="008B657C" w:rsidRPr="008B657C" w:rsidRDefault="008B657C" w:rsidP="00F61F60">
      <w:pPr>
        <w:numPr>
          <w:ilvl w:val="0"/>
          <w:numId w:val="30"/>
        </w:numPr>
        <w:spacing w:after="120" w:line="240" w:lineRule="atLeast"/>
        <w:rPr>
          <w:szCs w:val="22"/>
        </w:rPr>
      </w:pPr>
      <w:r w:rsidRPr="008B657C">
        <w:rPr>
          <w:szCs w:val="22"/>
        </w:rPr>
        <w:t xml:space="preserve">Monitor, document and </w:t>
      </w:r>
      <w:r w:rsidR="00250D7E" w:rsidRPr="008B657C">
        <w:rPr>
          <w:szCs w:val="22"/>
        </w:rPr>
        <w:t>analyse</w:t>
      </w:r>
      <w:r w:rsidRPr="008B657C">
        <w:rPr>
          <w:szCs w:val="22"/>
        </w:rPr>
        <w:t xml:space="preserve"> human rights situation in Ukraine, report human rights violations to raise public awareness, advance rule of law, promote tolerance, equality and diversit</w:t>
      </w:r>
      <w:r w:rsidR="00C0209F">
        <w:rPr>
          <w:szCs w:val="22"/>
        </w:rPr>
        <w:t>y, and support transformations</w:t>
      </w:r>
    </w:p>
    <w:p w14:paraId="7B8C78E4" w14:textId="77777777" w:rsidR="008B657C" w:rsidRPr="008B657C" w:rsidRDefault="008B657C" w:rsidP="00F61F60">
      <w:pPr>
        <w:numPr>
          <w:ilvl w:val="0"/>
          <w:numId w:val="30"/>
        </w:numPr>
        <w:spacing w:after="120" w:line="240" w:lineRule="atLeast"/>
        <w:rPr>
          <w:szCs w:val="22"/>
        </w:rPr>
      </w:pPr>
      <w:r w:rsidRPr="008B657C">
        <w:rPr>
          <w:szCs w:val="22"/>
        </w:rPr>
        <w:t>Provide legal, psychological, informational, and other essential support to survivors of serious human rights violations an</w:t>
      </w:r>
      <w:r w:rsidR="00C0209F">
        <w:rPr>
          <w:szCs w:val="22"/>
        </w:rPr>
        <w:t>d breaches of international law</w:t>
      </w:r>
    </w:p>
    <w:p w14:paraId="5706BB3D" w14:textId="77777777" w:rsidR="008B657C" w:rsidRPr="008B657C" w:rsidRDefault="008B657C" w:rsidP="00F61F60">
      <w:pPr>
        <w:numPr>
          <w:ilvl w:val="0"/>
          <w:numId w:val="30"/>
        </w:numPr>
        <w:spacing w:after="120" w:line="240" w:lineRule="atLeast"/>
        <w:rPr>
          <w:szCs w:val="22"/>
        </w:rPr>
      </w:pPr>
      <w:r w:rsidRPr="008B657C">
        <w:rPr>
          <w:szCs w:val="22"/>
        </w:rPr>
        <w:t>Organize awareness-raising and advocacy initiatives, including those targeting international audiences, to preserve the truth about war crimes and the i</w:t>
      </w:r>
      <w:r w:rsidR="00C0209F">
        <w:rPr>
          <w:szCs w:val="22"/>
        </w:rPr>
        <w:t>mpacts of occupation in Ukraine</w:t>
      </w:r>
    </w:p>
    <w:p w14:paraId="3849E91B" w14:textId="77777777" w:rsidR="008B657C" w:rsidRPr="008B657C" w:rsidRDefault="008B657C" w:rsidP="00F61F60">
      <w:pPr>
        <w:numPr>
          <w:ilvl w:val="0"/>
          <w:numId w:val="30"/>
        </w:numPr>
        <w:spacing w:after="120" w:line="240" w:lineRule="atLeast"/>
        <w:rPr>
          <w:szCs w:val="22"/>
        </w:rPr>
      </w:pPr>
      <w:r w:rsidRPr="008B657C">
        <w:rPr>
          <w:szCs w:val="22"/>
        </w:rPr>
        <w:t xml:space="preserve">Conduct awareness-raising and educational activities to promote greater understanding and respect for human </w:t>
      </w:r>
      <w:r w:rsidR="00C0209F">
        <w:rPr>
          <w:szCs w:val="22"/>
        </w:rPr>
        <w:t xml:space="preserve">rights among the </w:t>
      </w:r>
      <w:proofErr w:type="gramStart"/>
      <w:r w:rsidR="00C0209F">
        <w:rPr>
          <w:szCs w:val="22"/>
        </w:rPr>
        <w:t>general public</w:t>
      </w:r>
      <w:proofErr w:type="gramEnd"/>
    </w:p>
    <w:p w14:paraId="06807167" w14:textId="77777777" w:rsidR="008B657C" w:rsidRPr="008B657C" w:rsidRDefault="008B657C" w:rsidP="00F61F60">
      <w:pPr>
        <w:numPr>
          <w:ilvl w:val="0"/>
          <w:numId w:val="30"/>
        </w:numPr>
        <w:spacing w:after="120" w:line="240" w:lineRule="atLeast"/>
        <w:rPr>
          <w:szCs w:val="22"/>
        </w:rPr>
      </w:pPr>
      <w:r w:rsidRPr="008B657C">
        <w:rPr>
          <w:szCs w:val="22"/>
        </w:rPr>
        <w:t>Implement capacity-building initiatives to strengthen knowledge and application of human rights sta</w:t>
      </w:r>
      <w:r w:rsidR="00C0209F">
        <w:rPr>
          <w:szCs w:val="22"/>
        </w:rPr>
        <w:t>ndards across diverse audiences</w:t>
      </w:r>
    </w:p>
    <w:p w14:paraId="088B1F90" w14:textId="77777777" w:rsidR="008B657C" w:rsidRPr="008B657C" w:rsidRDefault="008B657C" w:rsidP="00F61F60">
      <w:pPr>
        <w:numPr>
          <w:ilvl w:val="0"/>
          <w:numId w:val="30"/>
        </w:numPr>
        <w:spacing w:after="120" w:line="240" w:lineRule="atLeast"/>
        <w:rPr>
          <w:szCs w:val="22"/>
        </w:rPr>
      </w:pPr>
      <w:r w:rsidRPr="008B657C">
        <w:rPr>
          <w:szCs w:val="22"/>
        </w:rPr>
        <w:t>Support the Government of Ukraine in integrating international human rights standards and best pr</w:t>
      </w:r>
      <w:r w:rsidR="00C0209F">
        <w:rPr>
          <w:szCs w:val="22"/>
        </w:rPr>
        <w:t>actices into national policies</w:t>
      </w:r>
    </w:p>
    <w:p w14:paraId="5C46920E" w14:textId="77777777" w:rsidR="008B657C" w:rsidRPr="008B657C" w:rsidRDefault="008B657C" w:rsidP="00F61F60">
      <w:pPr>
        <w:numPr>
          <w:ilvl w:val="0"/>
          <w:numId w:val="30"/>
        </w:numPr>
        <w:spacing w:after="120" w:line="240" w:lineRule="atLeast"/>
        <w:rPr>
          <w:szCs w:val="22"/>
        </w:rPr>
      </w:pPr>
      <w:r w:rsidRPr="008B657C">
        <w:rPr>
          <w:szCs w:val="22"/>
        </w:rPr>
        <w:t>Support human rights defenders and activists facing risks or threats i</w:t>
      </w:r>
      <w:r w:rsidR="00C0209F">
        <w:rPr>
          <w:szCs w:val="22"/>
        </w:rPr>
        <w:t>n relation to their activities</w:t>
      </w:r>
    </w:p>
    <w:p w14:paraId="1A5E0C83" w14:textId="77777777" w:rsidR="008B657C" w:rsidRPr="008B657C" w:rsidRDefault="008B657C" w:rsidP="00F61F60">
      <w:pPr>
        <w:numPr>
          <w:ilvl w:val="0"/>
          <w:numId w:val="30"/>
        </w:numPr>
        <w:spacing w:after="120" w:line="240" w:lineRule="atLeast"/>
        <w:rPr>
          <w:szCs w:val="22"/>
        </w:rPr>
      </w:pPr>
      <w:r w:rsidRPr="008B657C">
        <w:rPr>
          <w:szCs w:val="22"/>
        </w:rPr>
        <w:t xml:space="preserve">Promote and support community-based and </w:t>
      </w:r>
      <w:r w:rsidR="00250D7E" w:rsidRPr="008B657C">
        <w:rPr>
          <w:szCs w:val="22"/>
        </w:rPr>
        <w:t>grass root</w:t>
      </w:r>
      <w:r w:rsidRPr="008B657C">
        <w:rPr>
          <w:szCs w:val="22"/>
        </w:rPr>
        <w:t xml:space="preserve"> initiatives that advance human rights and foster equal participation in </w:t>
      </w:r>
      <w:r w:rsidR="00C0209F">
        <w:rPr>
          <w:szCs w:val="22"/>
        </w:rPr>
        <w:t>local decision-making processes</w:t>
      </w:r>
    </w:p>
    <w:p w14:paraId="2512C6DF" w14:textId="77777777" w:rsidR="008B657C" w:rsidRPr="008B657C" w:rsidRDefault="008B657C" w:rsidP="00F61F60">
      <w:pPr>
        <w:numPr>
          <w:ilvl w:val="0"/>
          <w:numId w:val="30"/>
        </w:numPr>
        <w:spacing w:after="120" w:line="240" w:lineRule="atLeast"/>
        <w:rPr>
          <w:szCs w:val="22"/>
        </w:rPr>
      </w:pPr>
      <w:r w:rsidRPr="008B657C">
        <w:rPr>
          <w:szCs w:val="22"/>
        </w:rPr>
        <w:t>Support innovative and tailored approaches to address human rig</w:t>
      </w:r>
      <w:r w:rsidR="00C0209F">
        <w:rPr>
          <w:szCs w:val="22"/>
        </w:rPr>
        <w:t>hts violations and inequalities</w:t>
      </w:r>
    </w:p>
    <w:p w14:paraId="5C642536" w14:textId="77777777" w:rsidR="008B657C" w:rsidRPr="008B657C" w:rsidRDefault="008B657C" w:rsidP="008B657C">
      <w:pPr>
        <w:spacing w:after="120" w:line="240" w:lineRule="atLeast"/>
        <w:rPr>
          <w:b/>
          <w:szCs w:val="22"/>
        </w:rPr>
      </w:pPr>
    </w:p>
    <w:p w14:paraId="08F47E68" w14:textId="77777777" w:rsidR="008B657C" w:rsidRPr="00F1452B" w:rsidRDefault="008B657C" w:rsidP="008B657C">
      <w:pPr>
        <w:spacing w:after="120" w:line="240" w:lineRule="atLeast"/>
        <w:rPr>
          <w:b/>
          <w:bCs/>
          <w:szCs w:val="22"/>
        </w:rPr>
      </w:pPr>
      <w:r w:rsidRPr="008B657C">
        <w:rPr>
          <w:b/>
          <w:bCs/>
          <w:szCs w:val="22"/>
          <w:u w:val="single"/>
        </w:rPr>
        <w:t>Lot 4:</w:t>
      </w:r>
      <w:r w:rsidRPr="008B657C">
        <w:rPr>
          <w:b/>
          <w:bCs/>
          <w:szCs w:val="22"/>
        </w:rPr>
        <w:t xml:space="preserve"> Social Cohesion</w:t>
      </w:r>
    </w:p>
    <w:p w14:paraId="26A223F0" w14:textId="77777777" w:rsidR="008B657C" w:rsidRPr="008B657C" w:rsidRDefault="008B657C" w:rsidP="00F61F60">
      <w:pPr>
        <w:numPr>
          <w:ilvl w:val="0"/>
          <w:numId w:val="30"/>
        </w:numPr>
        <w:spacing w:after="120" w:line="240" w:lineRule="atLeast"/>
        <w:rPr>
          <w:szCs w:val="22"/>
        </w:rPr>
      </w:pPr>
      <w:r w:rsidRPr="008B657C">
        <w:rPr>
          <w:szCs w:val="22"/>
        </w:rPr>
        <w:t>Actions to facilitate and enhance the quality provision of social services to vulnerable groups in Ukraine (IDPs, LGBTQI</w:t>
      </w:r>
      <w:r w:rsidR="003E78E4">
        <w:rPr>
          <w:rStyle w:val="FootnoteReference"/>
          <w:szCs w:val="22"/>
        </w:rPr>
        <w:footnoteReference w:id="21"/>
      </w:r>
      <w:r w:rsidRPr="008B657C">
        <w:rPr>
          <w:szCs w:val="22"/>
        </w:rPr>
        <w:t>, children, elderly people, persons with disabilities) such as ensuring their acces</w:t>
      </w:r>
      <w:r w:rsidR="00C0209F">
        <w:rPr>
          <w:szCs w:val="22"/>
        </w:rPr>
        <w:t>s to education, healthcare etc.</w:t>
      </w:r>
    </w:p>
    <w:p w14:paraId="354984F5" w14:textId="77777777" w:rsidR="008B657C" w:rsidRPr="008B657C" w:rsidRDefault="008B657C" w:rsidP="00F61F60">
      <w:pPr>
        <w:numPr>
          <w:ilvl w:val="0"/>
          <w:numId w:val="30"/>
        </w:numPr>
        <w:spacing w:after="120" w:line="240" w:lineRule="atLeast"/>
        <w:rPr>
          <w:szCs w:val="22"/>
        </w:rPr>
      </w:pPr>
      <w:r w:rsidRPr="008B657C">
        <w:rPr>
          <w:szCs w:val="22"/>
        </w:rPr>
        <w:t>Actions to bring together employers and employees from vulnerable groups and match the local labour dema</w:t>
      </w:r>
      <w:r w:rsidR="00C0209F">
        <w:rPr>
          <w:szCs w:val="22"/>
        </w:rPr>
        <w:t xml:space="preserve">nd with the employees' skills </w:t>
      </w:r>
    </w:p>
    <w:p w14:paraId="607E6B84" w14:textId="77777777" w:rsidR="008B657C" w:rsidRPr="008B657C" w:rsidRDefault="008B657C" w:rsidP="00F61F60">
      <w:pPr>
        <w:numPr>
          <w:ilvl w:val="0"/>
          <w:numId w:val="30"/>
        </w:numPr>
        <w:spacing w:after="120" w:line="240" w:lineRule="atLeast"/>
        <w:rPr>
          <w:szCs w:val="22"/>
        </w:rPr>
      </w:pPr>
      <w:r w:rsidRPr="008B657C">
        <w:rPr>
          <w:szCs w:val="22"/>
        </w:rPr>
        <w:t>Capacity building activities to train IDPs, host communities and relevant auth</w:t>
      </w:r>
      <w:r w:rsidR="00C0209F">
        <w:rPr>
          <w:szCs w:val="22"/>
        </w:rPr>
        <w:t>orities on reintegration issues</w:t>
      </w:r>
    </w:p>
    <w:p w14:paraId="6CEF8FDA" w14:textId="77777777" w:rsidR="008B657C" w:rsidRPr="008B657C" w:rsidRDefault="008B657C" w:rsidP="00F61F60">
      <w:pPr>
        <w:numPr>
          <w:ilvl w:val="0"/>
          <w:numId w:val="30"/>
        </w:numPr>
        <w:spacing w:after="120" w:line="240" w:lineRule="atLeast"/>
        <w:rPr>
          <w:szCs w:val="22"/>
        </w:rPr>
      </w:pPr>
      <w:r w:rsidRPr="008B657C">
        <w:rPr>
          <w:szCs w:val="22"/>
        </w:rPr>
        <w:t>Actions providing individual counselling, support groups and mental health services and actions involving the vulnerable groups and host communities in the planning and implementat</w:t>
      </w:r>
      <w:r w:rsidR="00C0209F">
        <w:rPr>
          <w:szCs w:val="22"/>
        </w:rPr>
        <w:t>ion of reintegration activities</w:t>
      </w:r>
    </w:p>
    <w:p w14:paraId="3D6E836D" w14:textId="77777777" w:rsidR="008B657C" w:rsidRPr="008B657C" w:rsidRDefault="008B657C" w:rsidP="00F61F60">
      <w:pPr>
        <w:numPr>
          <w:ilvl w:val="0"/>
          <w:numId w:val="30"/>
        </w:numPr>
        <w:spacing w:after="120" w:line="240" w:lineRule="atLeast"/>
        <w:rPr>
          <w:szCs w:val="22"/>
        </w:rPr>
      </w:pPr>
      <w:r w:rsidRPr="008B657C">
        <w:rPr>
          <w:szCs w:val="22"/>
        </w:rPr>
        <w:t>Actions that promote the sense of national unity and bring together Ukrainian's abroad w</w:t>
      </w:r>
      <w:r w:rsidR="00C0209F">
        <w:rPr>
          <w:szCs w:val="22"/>
        </w:rPr>
        <w:t>ith citizens within the country</w:t>
      </w:r>
    </w:p>
    <w:p w14:paraId="55B83031" w14:textId="0D6A1CA8" w:rsidR="008B657C" w:rsidRPr="00EC27B0" w:rsidRDefault="008B657C" w:rsidP="00EC27B0">
      <w:pPr>
        <w:numPr>
          <w:ilvl w:val="0"/>
          <w:numId w:val="30"/>
        </w:numPr>
        <w:spacing w:after="120" w:line="240" w:lineRule="atLeast"/>
        <w:rPr>
          <w:szCs w:val="22"/>
        </w:rPr>
      </w:pPr>
      <w:r w:rsidRPr="008B657C">
        <w:rPr>
          <w:szCs w:val="22"/>
        </w:rPr>
        <w:lastRenderedPageBreak/>
        <w:t>Tailored actions that facilitate the reintegration of veterans focusing on physical, mental, soc</w:t>
      </w:r>
      <w:r w:rsidR="00C0209F">
        <w:rPr>
          <w:szCs w:val="22"/>
        </w:rPr>
        <w:t>ial and vocational well being</w:t>
      </w:r>
    </w:p>
    <w:p w14:paraId="161DA47D" w14:textId="77777777" w:rsidR="008B657C" w:rsidRPr="00F1452B" w:rsidRDefault="008B657C" w:rsidP="008B657C">
      <w:pPr>
        <w:spacing w:after="120" w:line="240" w:lineRule="atLeast"/>
        <w:rPr>
          <w:b/>
          <w:bCs/>
          <w:szCs w:val="22"/>
          <w:u w:val="single"/>
        </w:rPr>
      </w:pPr>
      <w:r w:rsidRPr="008B657C">
        <w:rPr>
          <w:b/>
          <w:bCs/>
          <w:szCs w:val="22"/>
          <w:u w:val="single"/>
        </w:rPr>
        <w:t xml:space="preserve">Lot 5: Youth </w:t>
      </w:r>
      <w:r w:rsidRPr="008B657C">
        <w:rPr>
          <w:b/>
          <w:bCs/>
          <w:szCs w:val="22"/>
          <w:u w:val="single"/>
          <w:vertAlign w:val="superscript"/>
        </w:rPr>
        <w:footnoteReference w:id="22"/>
      </w:r>
    </w:p>
    <w:p w14:paraId="0A3C1D57" w14:textId="77777777" w:rsidR="008B657C" w:rsidRPr="008B657C" w:rsidRDefault="008B657C" w:rsidP="00F61F60">
      <w:pPr>
        <w:numPr>
          <w:ilvl w:val="0"/>
          <w:numId w:val="30"/>
        </w:numPr>
        <w:spacing w:after="120" w:line="240" w:lineRule="atLeast"/>
        <w:rPr>
          <w:szCs w:val="22"/>
        </w:rPr>
      </w:pPr>
      <w:r w:rsidRPr="008B657C">
        <w:rPr>
          <w:szCs w:val="22"/>
        </w:rPr>
        <w:t>Capacity building activities to train young people and on engaging with local IDPs and Veterans and develop peer to peer relations wit</w:t>
      </w:r>
      <w:r w:rsidR="00C0209F">
        <w:rPr>
          <w:szCs w:val="22"/>
        </w:rPr>
        <w:t>h young IDPs and young Veterans</w:t>
      </w:r>
    </w:p>
    <w:p w14:paraId="3F3E427C" w14:textId="77777777" w:rsidR="008B657C" w:rsidRPr="008B657C" w:rsidRDefault="008B657C" w:rsidP="00F61F60">
      <w:pPr>
        <w:numPr>
          <w:ilvl w:val="0"/>
          <w:numId w:val="30"/>
        </w:numPr>
        <w:spacing w:after="120" w:line="240" w:lineRule="atLeast"/>
        <w:rPr>
          <w:szCs w:val="22"/>
        </w:rPr>
      </w:pPr>
      <w:r w:rsidRPr="008B657C">
        <w:rPr>
          <w:szCs w:val="22"/>
        </w:rPr>
        <w:t>Awareness raising activities for the youth and promotion of youth participation in political fora, while enhancing the understanding of the youth political and policy making lan</w:t>
      </w:r>
      <w:r w:rsidR="00C0209F">
        <w:rPr>
          <w:szCs w:val="22"/>
        </w:rPr>
        <w:t>dscape in Ukraine and in Europe</w:t>
      </w:r>
    </w:p>
    <w:p w14:paraId="52896B82" w14:textId="77777777" w:rsidR="008B657C" w:rsidRPr="008B657C" w:rsidRDefault="008B657C" w:rsidP="00F61F60">
      <w:pPr>
        <w:numPr>
          <w:ilvl w:val="0"/>
          <w:numId w:val="30"/>
        </w:numPr>
        <w:spacing w:after="120" w:line="240" w:lineRule="atLeast"/>
        <w:rPr>
          <w:szCs w:val="22"/>
        </w:rPr>
      </w:pPr>
      <w:r w:rsidRPr="008B657C">
        <w:rPr>
          <w:szCs w:val="22"/>
        </w:rPr>
        <w:t>Training activities empowering the youth to engage with the EU integration process and help youth organisations to develop inclusive youth work methods encouraging initiatives for co-creation and co-design</w:t>
      </w:r>
      <w:r w:rsidR="00C0209F">
        <w:rPr>
          <w:szCs w:val="22"/>
        </w:rPr>
        <w:t xml:space="preserve"> of projects</w:t>
      </w:r>
    </w:p>
    <w:p w14:paraId="7CEE399B" w14:textId="77777777" w:rsidR="008B657C" w:rsidRPr="008B657C" w:rsidRDefault="008B657C" w:rsidP="00F61F60">
      <w:pPr>
        <w:numPr>
          <w:ilvl w:val="0"/>
          <w:numId w:val="30"/>
        </w:numPr>
        <w:spacing w:after="120" w:line="240" w:lineRule="atLeast"/>
        <w:rPr>
          <w:szCs w:val="22"/>
        </w:rPr>
      </w:pPr>
      <w:r w:rsidRPr="008B657C">
        <w:rPr>
          <w:szCs w:val="22"/>
        </w:rPr>
        <w:t>Empower youth and sports organisation to increase the youth engagement with local sport clubs, by supporting youth to participate in the policy and decision-making process of local sport clubs at community level, thus enhancing the autonomy of the sports organisations and the participation levels of youth in sports activities, in line with th</w:t>
      </w:r>
      <w:r w:rsidR="00C0209F">
        <w:rPr>
          <w:szCs w:val="22"/>
        </w:rPr>
        <w:t>e national authorities' policy</w:t>
      </w:r>
    </w:p>
    <w:p w14:paraId="5A24F847" w14:textId="77777777" w:rsidR="00F1452B" w:rsidRDefault="00F1452B" w:rsidP="00F36C74">
      <w:pPr>
        <w:spacing w:after="120" w:line="240" w:lineRule="atLeast"/>
        <w:rPr>
          <w:b/>
          <w:bCs/>
          <w:szCs w:val="22"/>
        </w:rPr>
      </w:pPr>
    </w:p>
    <w:p w14:paraId="57559721" w14:textId="77777777" w:rsidR="0023018A" w:rsidRPr="001B7D50" w:rsidRDefault="00266BD4" w:rsidP="00F36C74">
      <w:pPr>
        <w:spacing w:after="120" w:line="240" w:lineRule="atLeast"/>
        <w:rPr>
          <w:b/>
          <w:bCs/>
          <w:szCs w:val="22"/>
        </w:rPr>
      </w:pPr>
      <w:r w:rsidRPr="001B7D50">
        <w:rPr>
          <w:b/>
          <w:bCs/>
          <w:szCs w:val="22"/>
        </w:rPr>
        <w:t>Financial support to third parties</w:t>
      </w:r>
      <w:r w:rsidR="0023018A" w:rsidRPr="001B7D50">
        <w:rPr>
          <w:b/>
          <w:bCs/>
          <w:szCs w:val="22"/>
        </w:rPr>
        <w:t xml:space="preserve"> </w:t>
      </w:r>
    </w:p>
    <w:p w14:paraId="0993B6F1" w14:textId="77777777" w:rsidR="00E079D5" w:rsidRPr="00C0209F" w:rsidRDefault="00C0209F" w:rsidP="00F36C74">
      <w:pPr>
        <w:spacing w:after="120" w:line="240" w:lineRule="atLeast"/>
      </w:pPr>
      <w:r w:rsidRPr="00AF7BC1">
        <w:rPr>
          <w:b/>
        </w:rPr>
        <w:t>Under all lots, a</w:t>
      </w:r>
      <w:r w:rsidR="00107C6D" w:rsidRPr="00AF7BC1">
        <w:rPr>
          <w:b/>
        </w:rPr>
        <w:t>pplicant</w:t>
      </w:r>
      <w:r w:rsidR="003F04E9" w:rsidRPr="00AF7BC1">
        <w:rPr>
          <w:b/>
        </w:rPr>
        <w:t>s</w:t>
      </w:r>
      <w:r w:rsidR="00107C6D" w:rsidRPr="00AF7BC1">
        <w:rPr>
          <w:b/>
        </w:rPr>
        <w:t xml:space="preserve"> </w:t>
      </w:r>
      <w:r w:rsidRPr="00AF7BC1">
        <w:rPr>
          <w:b/>
        </w:rPr>
        <w:t xml:space="preserve">are required to </w:t>
      </w:r>
      <w:r w:rsidR="00107C6D" w:rsidRPr="00AF7BC1">
        <w:rPr>
          <w:b/>
        </w:rPr>
        <w:t>propose financial support to third parties</w:t>
      </w:r>
      <w:r w:rsidR="00C037A4">
        <w:rPr>
          <w:b/>
        </w:rPr>
        <w:t xml:space="preserve"> (</w:t>
      </w:r>
      <w:proofErr w:type="spellStart"/>
      <w:r w:rsidR="00C037A4">
        <w:rPr>
          <w:b/>
        </w:rPr>
        <w:t>subgranting</w:t>
      </w:r>
      <w:proofErr w:type="spellEnd"/>
      <w:r w:rsidR="00C037A4">
        <w:rPr>
          <w:b/>
        </w:rPr>
        <w:t xml:space="preserve"> schemes)</w:t>
      </w:r>
      <w:r w:rsidR="00107C6D" w:rsidRPr="00AF7BC1">
        <w:rPr>
          <w:b/>
        </w:rPr>
        <w:t xml:space="preserve"> </w:t>
      </w:r>
      <w:proofErr w:type="gramStart"/>
      <w:r w:rsidR="00517ECD" w:rsidRPr="00AF7BC1">
        <w:rPr>
          <w:b/>
        </w:rPr>
        <w:t>in order</w:t>
      </w:r>
      <w:r w:rsidR="00107C6D" w:rsidRPr="00AF7BC1">
        <w:rPr>
          <w:b/>
        </w:rPr>
        <w:t xml:space="preserve"> to</w:t>
      </w:r>
      <w:proofErr w:type="gramEnd"/>
      <w:r w:rsidR="00107C6D" w:rsidRPr="00AF7BC1">
        <w:rPr>
          <w:b/>
        </w:rPr>
        <w:t xml:space="preserve"> </w:t>
      </w:r>
      <w:r w:rsidR="0047210D" w:rsidRPr="00AF7BC1">
        <w:rPr>
          <w:b/>
        </w:rPr>
        <w:t>help achieving</w:t>
      </w:r>
      <w:r w:rsidR="00107C6D" w:rsidRPr="00AF7BC1">
        <w:rPr>
          <w:b/>
        </w:rPr>
        <w:t xml:space="preserve"> the objectives of the action.</w:t>
      </w:r>
      <w:r w:rsidR="00DB06F5" w:rsidRPr="00AF7BC1">
        <w:rPr>
          <w:b/>
        </w:rPr>
        <w:t xml:space="preserve"> </w:t>
      </w:r>
      <w:r w:rsidRPr="007831C1">
        <w:rPr>
          <w:b/>
        </w:rPr>
        <w:t>The budget reserved for financial support to third parties shall at least be 2</w:t>
      </w:r>
      <w:r w:rsidR="008D1EB8">
        <w:rPr>
          <w:b/>
        </w:rPr>
        <w:t>5</w:t>
      </w:r>
      <w:r w:rsidRPr="007831C1">
        <w:rPr>
          <w:b/>
        </w:rPr>
        <w:t xml:space="preserve"> % of the overall </w:t>
      </w:r>
      <w:r w:rsidR="00C037A4">
        <w:rPr>
          <w:b/>
        </w:rPr>
        <w:t xml:space="preserve">requested </w:t>
      </w:r>
      <w:r w:rsidRPr="007831C1">
        <w:rPr>
          <w:b/>
        </w:rPr>
        <w:t>project budget.</w:t>
      </w:r>
    </w:p>
    <w:p w14:paraId="02DDE8E3" w14:textId="77777777" w:rsidR="009B6884" w:rsidRPr="00BA6979" w:rsidRDefault="007E1BE2" w:rsidP="00F36C74">
      <w:pPr>
        <w:spacing w:after="120" w:line="240" w:lineRule="atLeast"/>
        <w:rPr>
          <w:szCs w:val="22"/>
        </w:rPr>
      </w:pPr>
      <w:r w:rsidRPr="00C0209F">
        <w:t xml:space="preserve">The maximum amount of </w:t>
      </w:r>
      <w:r w:rsidR="003477DE" w:rsidRPr="00C0209F">
        <w:t>financial support</w:t>
      </w:r>
      <w:r w:rsidRPr="00C0209F">
        <w:t xml:space="preserve"> </w:t>
      </w:r>
      <w:r w:rsidR="00A07623" w:rsidRPr="00C0209F">
        <w:t xml:space="preserve">per third party </w:t>
      </w:r>
      <w:r w:rsidRPr="00C0209F">
        <w:t xml:space="preserve">is </w:t>
      </w:r>
      <w:r w:rsidR="0006470D" w:rsidRPr="00C0209F">
        <w:t>EUR</w:t>
      </w:r>
      <w:r w:rsidRPr="00C0209F">
        <w:t xml:space="preserve"> 60 000 except where</w:t>
      </w:r>
      <w:r w:rsidR="008E179D" w:rsidRPr="00C0209F">
        <w:t xml:space="preserve"> achieving the</w:t>
      </w:r>
      <w:r w:rsidR="008E179D" w:rsidRPr="00BA6979">
        <w:t xml:space="preserve"> objectives of the actions would otherwise be impossible or overly difficult</w:t>
      </w:r>
      <w:r w:rsidR="00ED7CB2" w:rsidRPr="00BA6979">
        <w:t>,</w:t>
      </w:r>
      <w:r w:rsidR="008E179D" w:rsidRPr="00BA6979">
        <w:t xml:space="preserve"> </w:t>
      </w:r>
      <w:r w:rsidR="00517ECD" w:rsidRPr="00BA6979">
        <w:t xml:space="preserve">in which case </w:t>
      </w:r>
      <w:r w:rsidR="00ED7CB2" w:rsidRPr="00BA6979">
        <w:t>this</w:t>
      </w:r>
      <w:r w:rsidR="00517ECD" w:rsidRPr="00BA6979">
        <w:t xml:space="preserve"> threshold </w:t>
      </w:r>
      <w:r w:rsidR="00ED7CB2" w:rsidRPr="00BA6979">
        <w:t xml:space="preserve">can be exceeded. </w:t>
      </w:r>
      <w:r w:rsidR="00ED7CB2" w:rsidRPr="00BA6979">
        <w:rPr>
          <w:szCs w:val="22"/>
        </w:rPr>
        <w:t>A</w:t>
      </w:r>
      <w:r w:rsidR="009B6884" w:rsidRPr="00BA6979">
        <w:rPr>
          <w:szCs w:val="22"/>
        </w:rPr>
        <w:t xml:space="preserve"> threshold below EUR 60 000 can be set if appropriate</w:t>
      </w:r>
      <w:r w:rsidR="00ED7CB2" w:rsidRPr="00BA6979">
        <w:rPr>
          <w:szCs w:val="22"/>
        </w:rPr>
        <w:t>.</w:t>
      </w:r>
    </w:p>
    <w:p w14:paraId="163BFBD3" w14:textId="77777777" w:rsidR="00700AF2" w:rsidRPr="00BD7F0D" w:rsidRDefault="00700AF2" w:rsidP="00F36C74">
      <w:pPr>
        <w:spacing w:after="120" w:line="240" w:lineRule="atLeast"/>
        <w:rPr>
          <w:szCs w:val="22"/>
        </w:rPr>
      </w:pPr>
      <w:r w:rsidRPr="00807DAF">
        <w:rPr>
          <w:szCs w:val="22"/>
        </w:rPr>
        <w:t xml:space="preserve">In compliance with the present guidelines and notably of any conditions or restrictions </w:t>
      </w:r>
      <w:r w:rsidR="00F72D70" w:rsidRPr="00807DAF">
        <w:rPr>
          <w:szCs w:val="22"/>
        </w:rPr>
        <w:t xml:space="preserve">in this </w:t>
      </w:r>
      <w:r w:rsidR="00853E40">
        <w:rPr>
          <w:szCs w:val="22"/>
        </w:rPr>
        <w:t>S</w:t>
      </w:r>
      <w:r w:rsidR="00F72D70" w:rsidRPr="00807DAF">
        <w:rPr>
          <w:szCs w:val="22"/>
        </w:rPr>
        <w:t>ection</w:t>
      </w:r>
      <w:r w:rsidRPr="00807DAF">
        <w:rPr>
          <w:szCs w:val="22"/>
        </w:rPr>
        <w:t>,</w:t>
      </w:r>
      <w:r w:rsidR="00F72E51">
        <w:rPr>
          <w:szCs w:val="22"/>
        </w:rPr>
        <w:t xml:space="preserve"> the</w:t>
      </w:r>
      <w:r w:rsidRPr="00807DAF">
        <w:rPr>
          <w:szCs w:val="22"/>
        </w:rPr>
        <w:t xml:space="preserve"> </w:t>
      </w:r>
      <w:r w:rsidR="00B114D9">
        <w:rPr>
          <w:szCs w:val="22"/>
        </w:rPr>
        <w:t xml:space="preserve">lead </w:t>
      </w:r>
      <w:r w:rsidRPr="00807DAF">
        <w:rPr>
          <w:szCs w:val="22"/>
        </w:rPr>
        <w:t>applicant sh</w:t>
      </w:r>
      <w:r w:rsidR="0002374A" w:rsidRPr="00807DAF">
        <w:rPr>
          <w:szCs w:val="22"/>
        </w:rPr>
        <w:t>ould</w:t>
      </w:r>
      <w:r w:rsidRPr="00807DAF">
        <w:rPr>
          <w:szCs w:val="22"/>
        </w:rPr>
        <w:t xml:space="preserve"> define mandatorily in </w:t>
      </w:r>
      <w:r w:rsidR="000D7ACD">
        <w:rPr>
          <w:szCs w:val="22"/>
        </w:rPr>
        <w:t>S</w:t>
      </w:r>
      <w:r w:rsidRPr="00807DAF">
        <w:rPr>
          <w:szCs w:val="22"/>
        </w:rPr>
        <w:t xml:space="preserve">ection 2.1.1 of </w:t>
      </w:r>
      <w:r w:rsidR="00562215">
        <w:rPr>
          <w:szCs w:val="22"/>
        </w:rPr>
        <w:t xml:space="preserve">Annex </w:t>
      </w:r>
      <w:r w:rsidR="00692561">
        <w:rPr>
          <w:szCs w:val="22"/>
        </w:rPr>
        <w:t>a</w:t>
      </w:r>
      <w:r w:rsidR="00562215">
        <w:rPr>
          <w:szCs w:val="22"/>
        </w:rPr>
        <w:t>.</w:t>
      </w:r>
      <w:r w:rsidR="00562215" w:rsidRPr="00BD7F0D">
        <w:rPr>
          <w:szCs w:val="22"/>
        </w:rPr>
        <w:t>2</w:t>
      </w:r>
      <w:r w:rsidR="003859ED" w:rsidRPr="00BA6979">
        <w:rPr>
          <w:szCs w:val="22"/>
        </w:rPr>
        <w:t xml:space="preserve"> (Grant application form </w:t>
      </w:r>
      <w:r w:rsidR="003859ED" w:rsidRPr="00A84207">
        <w:rPr>
          <w:szCs w:val="22"/>
        </w:rPr>
        <w:t>–</w:t>
      </w:r>
      <w:r w:rsidR="003859ED" w:rsidRPr="00BA6979">
        <w:rPr>
          <w:szCs w:val="22"/>
        </w:rPr>
        <w:t xml:space="preserve"> Full application)</w:t>
      </w:r>
      <w:r w:rsidRPr="00BD7F0D">
        <w:rPr>
          <w:szCs w:val="22"/>
        </w:rPr>
        <w:t xml:space="preserve">: </w:t>
      </w:r>
    </w:p>
    <w:p w14:paraId="16387957" w14:textId="77777777" w:rsidR="00700AF2" w:rsidRPr="00807DAF" w:rsidRDefault="00700AF2" w:rsidP="00F61F60">
      <w:pPr>
        <w:numPr>
          <w:ilvl w:val="0"/>
          <w:numId w:val="19"/>
        </w:numPr>
        <w:tabs>
          <w:tab w:val="left" w:pos="851"/>
        </w:tabs>
        <w:spacing w:after="120" w:line="240" w:lineRule="atLeast"/>
        <w:ind w:left="851" w:hanging="425"/>
        <w:rPr>
          <w:szCs w:val="22"/>
        </w:rPr>
      </w:pPr>
      <w:r w:rsidRPr="00807DAF">
        <w:rPr>
          <w:szCs w:val="22"/>
        </w:rPr>
        <w:t xml:space="preserve">the </w:t>
      </w:r>
      <w:r w:rsidR="00247941">
        <w:rPr>
          <w:szCs w:val="22"/>
        </w:rPr>
        <w:t xml:space="preserve">overall </w:t>
      </w:r>
      <w:r w:rsidR="00247941" w:rsidRPr="00807DAF">
        <w:rPr>
          <w:szCs w:val="22"/>
        </w:rPr>
        <w:t>objectives</w:t>
      </w:r>
      <w:r w:rsidR="00247941">
        <w:rPr>
          <w:szCs w:val="22"/>
        </w:rPr>
        <w:t>, the specific objective(s) and the outputs</w:t>
      </w:r>
      <w:r w:rsidR="00247941">
        <w:rPr>
          <w:rStyle w:val="FootnoteReference"/>
          <w:szCs w:val="22"/>
        </w:rPr>
        <w:footnoteReference w:id="23"/>
      </w:r>
      <w:r w:rsidR="00247941">
        <w:rPr>
          <w:szCs w:val="22"/>
        </w:rPr>
        <w:t xml:space="preserve"> (i.e. the </w:t>
      </w:r>
      <w:r w:rsidR="00247941" w:rsidRPr="00807DAF">
        <w:rPr>
          <w:szCs w:val="22"/>
        </w:rPr>
        <w:t>results</w:t>
      </w:r>
      <w:r w:rsidR="00247941">
        <w:rPr>
          <w:szCs w:val="22"/>
        </w:rPr>
        <w:t>)</w:t>
      </w:r>
      <w:r w:rsidR="00247941" w:rsidRPr="00807DAF">
        <w:rPr>
          <w:szCs w:val="22"/>
        </w:rPr>
        <w:t xml:space="preserve"> to be </w:t>
      </w:r>
      <w:r w:rsidR="00247941">
        <w:rPr>
          <w:szCs w:val="22"/>
        </w:rPr>
        <w:t xml:space="preserve">achieved </w:t>
      </w:r>
      <w:r w:rsidRPr="00807DAF">
        <w:rPr>
          <w:szCs w:val="22"/>
        </w:rPr>
        <w:t xml:space="preserve">with the financial </w:t>
      </w:r>
      <w:proofErr w:type="gramStart"/>
      <w:r w:rsidRPr="00807DAF">
        <w:rPr>
          <w:szCs w:val="22"/>
        </w:rPr>
        <w:t>support</w:t>
      </w:r>
      <w:r w:rsidR="0045119A">
        <w:rPr>
          <w:szCs w:val="22"/>
        </w:rPr>
        <w:t>;</w:t>
      </w:r>
      <w:proofErr w:type="gramEnd"/>
      <w:r w:rsidRPr="00807DAF">
        <w:rPr>
          <w:szCs w:val="22"/>
        </w:rPr>
        <w:t xml:space="preserve"> </w:t>
      </w:r>
    </w:p>
    <w:p w14:paraId="0F93C51E" w14:textId="77777777" w:rsidR="00700AF2" w:rsidRPr="00807DAF" w:rsidRDefault="00700AF2" w:rsidP="00F61F60">
      <w:pPr>
        <w:numPr>
          <w:ilvl w:val="0"/>
          <w:numId w:val="19"/>
        </w:numPr>
        <w:tabs>
          <w:tab w:val="left" w:pos="851"/>
        </w:tabs>
        <w:spacing w:after="120" w:line="240" w:lineRule="atLeast"/>
        <w:ind w:left="851" w:hanging="425"/>
        <w:rPr>
          <w:szCs w:val="22"/>
        </w:rPr>
      </w:pPr>
      <w:r w:rsidRPr="00807DAF">
        <w:rPr>
          <w:szCs w:val="22"/>
        </w:rPr>
        <w:t xml:space="preserve">the different types of activities eligible for financial support, </w:t>
      </w:r>
      <w:proofErr w:type="gramStart"/>
      <w:r w:rsidRPr="00807DAF">
        <w:rPr>
          <w:szCs w:val="22"/>
        </w:rPr>
        <w:t>on the basis of</w:t>
      </w:r>
      <w:proofErr w:type="gramEnd"/>
      <w:r w:rsidRPr="00807DAF">
        <w:rPr>
          <w:szCs w:val="22"/>
        </w:rPr>
        <w:t xml:space="preserve"> a fixed </w:t>
      </w:r>
      <w:proofErr w:type="gramStart"/>
      <w:r w:rsidRPr="00807DAF">
        <w:rPr>
          <w:szCs w:val="22"/>
        </w:rPr>
        <w:t>list</w:t>
      </w:r>
      <w:r w:rsidR="0045119A">
        <w:rPr>
          <w:szCs w:val="22"/>
        </w:rPr>
        <w:t>;</w:t>
      </w:r>
      <w:proofErr w:type="gramEnd"/>
      <w:r w:rsidRPr="00807DAF">
        <w:rPr>
          <w:szCs w:val="22"/>
        </w:rPr>
        <w:t xml:space="preserve"> </w:t>
      </w:r>
    </w:p>
    <w:p w14:paraId="32FDC074" w14:textId="77777777" w:rsidR="00700AF2" w:rsidRPr="00807DAF" w:rsidRDefault="00700AF2" w:rsidP="00F61F60">
      <w:pPr>
        <w:numPr>
          <w:ilvl w:val="0"/>
          <w:numId w:val="19"/>
        </w:numPr>
        <w:tabs>
          <w:tab w:val="left" w:pos="851"/>
        </w:tabs>
        <w:spacing w:after="120" w:line="240" w:lineRule="atLeast"/>
        <w:ind w:left="851" w:hanging="425"/>
        <w:rPr>
          <w:szCs w:val="22"/>
        </w:rPr>
      </w:pPr>
      <w:r w:rsidRPr="00807DAF">
        <w:rPr>
          <w:szCs w:val="22"/>
        </w:rPr>
        <w:t xml:space="preserve">the types of persons or categories of persons which may receive financial </w:t>
      </w:r>
      <w:proofErr w:type="gramStart"/>
      <w:r w:rsidRPr="00807DAF">
        <w:rPr>
          <w:szCs w:val="22"/>
        </w:rPr>
        <w:t>support</w:t>
      </w:r>
      <w:r w:rsidR="0045119A">
        <w:rPr>
          <w:szCs w:val="22"/>
        </w:rPr>
        <w:t>;</w:t>
      </w:r>
      <w:proofErr w:type="gramEnd"/>
      <w:r w:rsidRPr="00807DAF">
        <w:rPr>
          <w:szCs w:val="22"/>
        </w:rPr>
        <w:t xml:space="preserve">  </w:t>
      </w:r>
    </w:p>
    <w:p w14:paraId="4BCCF097" w14:textId="77777777" w:rsidR="00700AF2" w:rsidRPr="00807DAF" w:rsidRDefault="00700AF2" w:rsidP="00F36C74">
      <w:pPr>
        <w:tabs>
          <w:tab w:val="left" w:pos="851"/>
        </w:tabs>
        <w:spacing w:after="120" w:line="240" w:lineRule="atLeast"/>
        <w:ind w:left="851" w:hanging="425"/>
        <w:rPr>
          <w:szCs w:val="22"/>
        </w:rPr>
      </w:pPr>
      <w:r w:rsidRPr="00807DAF">
        <w:rPr>
          <w:szCs w:val="22"/>
        </w:rPr>
        <w:t>(iv)</w:t>
      </w:r>
      <w:r w:rsidR="00D97BE7" w:rsidRPr="00807DAF">
        <w:rPr>
          <w:szCs w:val="22"/>
        </w:rPr>
        <w:tab/>
      </w:r>
      <w:r w:rsidRPr="00807DAF">
        <w:rPr>
          <w:szCs w:val="22"/>
        </w:rPr>
        <w:t xml:space="preserve">the criteria for selecting these entities and giving the financial </w:t>
      </w:r>
      <w:proofErr w:type="gramStart"/>
      <w:r w:rsidRPr="00807DAF">
        <w:rPr>
          <w:szCs w:val="22"/>
        </w:rPr>
        <w:t>support</w:t>
      </w:r>
      <w:r w:rsidR="0045119A">
        <w:rPr>
          <w:szCs w:val="22"/>
        </w:rPr>
        <w:t>;</w:t>
      </w:r>
      <w:proofErr w:type="gramEnd"/>
      <w:r w:rsidRPr="00807DAF">
        <w:rPr>
          <w:szCs w:val="22"/>
        </w:rPr>
        <w:t xml:space="preserve">  </w:t>
      </w:r>
    </w:p>
    <w:p w14:paraId="1036B184" w14:textId="77777777" w:rsidR="00700AF2" w:rsidRPr="00807DAF" w:rsidRDefault="00700AF2" w:rsidP="00F61F60">
      <w:pPr>
        <w:numPr>
          <w:ilvl w:val="0"/>
          <w:numId w:val="20"/>
        </w:numPr>
        <w:tabs>
          <w:tab w:val="left" w:pos="851"/>
        </w:tabs>
        <w:spacing w:after="120" w:line="240" w:lineRule="atLeast"/>
        <w:ind w:left="851" w:hanging="425"/>
        <w:rPr>
          <w:szCs w:val="22"/>
        </w:rPr>
      </w:pPr>
      <w:r w:rsidRPr="00807DAF">
        <w:rPr>
          <w:szCs w:val="22"/>
        </w:rPr>
        <w:t>the criteria for determining the exact amount of financial support for each third entity</w:t>
      </w:r>
      <w:r w:rsidR="0045119A">
        <w:rPr>
          <w:szCs w:val="22"/>
        </w:rPr>
        <w:t>;</w:t>
      </w:r>
      <w:r w:rsidRPr="00807DAF">
        <w:rPr>
          <w:szCs w:val="22"/>
        </w:rPr>
        <w:t xml:space="preserve"> and </w:t>
      </w:r>
    </w:p>
    <w:p w14:paraId="1D44D492" w14:textId="77777777" w:rsidR="00700AF2" w:rsidRPr="00807DAF" w:rsidRDefault="00700AF2" w:rsidP="00F61F60">
      <w:pPr>
        <w:numPr>
          <w:ilvl w:val="0"/>
          <w:numId w:val="20"/>
        </w:numPr>
        <w:tabs>
          <w:tab w:val="left" w:pos="851"/>
        </w:tabs>
        <w:spacing w:after="120" w:line="240" w:lineRule="atLeast"/>
        <w:ind w:left="851" w:hanging="425"/>
        <w:rPr>
          <w:szCs w:val="22"/>
        </w:rPr>
      </w:pPr>
      <w:r w:rsidRPr="00807DAF">
        <w:rPr>
          <w:szCs w:val="22"/>
        </w:rPr>
        <w:t>the maximum amount which may be given.</w:t>
      </w:r>
    </w:p>
    <w:p w14:paraId="749BA0AE" w14:textId="77777777" w:rsidR="00517ECD" w:rsidRPr="00807DAF" w:rsidRDefault="00700AF2" w:rsidP="00F36C74">
      <w:pPr>
        <w:spacing w:after="120" w:line="240" w:lineRule="atLeast"/>
        <w:rPr>
          <w:szCs w:val="22"/>
          <w:u w:val="single"/>
        </w:rPr>
      </w:pPr>
      <w:r w:rsidRPr="00807DAF">
        <w:rPr>
          <w:szCs w:val="22"/>
          <w:u w:val="single"/>
        </w:rPr>
        <w:t>In all events, the mandatory conditions set above for giving financial support (points (</w:t>
      </w:r>
      <w:proofErr w:type="spellStart"/>
      <w:r w:rsidRPr="00807DAF">
        <w:rPr>
          <w:szCs w:val="22"/>
          <w:u w:val="single"/>
        </w:rPr>
        <w:t>i</w:t>
      </w:r>
      <w:proofErr w:type="spellEnd"/>
      <w:r w:rsidRPr="00807DAF">
        <w:rPr>
          <w:szCs w:val="22"/>
          <w:u w:val="single"/>
        </w:rPr>
        <w:t xml:space="preserve">) to (vi)) </w:t>
      </w:r>
      <w:proofErr w:type="gramStart"/>
      <w:r w:rsidRPr="00807DAF">
        <w:rPr>
          <w:szCs w:val="22"/>
          <w:u w:val="single"/>
        </w:rPr>
        <w:t>have to</w:t>
      </w:r>
      <w:proofErr w:type="gramEnd"/>
      <w:r w:rsidRPr="00807DAF">
        <w:rPr>
          <w:szCs w:val="22"/>
          <w:u w:val="single"/>
        </w:rPr>
        <w:t xml:space="preserve"> be strictly defined in the</w:t>
      </w:r>
      <w:r w:rsidR="00A155DA">
        <w:rPr>
          <w:szCs w:val="22"/>
          <w:u w:val="single"/>
        </w:rPr>
        <w:t xml:space="preserve"> </w:t>
      </w:r>
      <w:r w:rsidR="003B254C">
        <w:rPr>
          <w:szCs w:val="22"/>
          <w:u w:val="single"/>
        </w:rPr>
        <w:t>g</w:t>
      </w:r>
      <w:r w:rsidR="00A155DA">
        <w:rPr>
          <w:szCs w:val="22"/>
          <w:u w:val="single"/>
        </w:rPr>
        <w:t xml:space="preserve">rant </w:t>
      </w:r>
      <w:r w:rsidR="003B254C">
        <w:rPr>
          <w:szCs w:val="22"/>
          <w:u w:val="single"/>
        </w:rPr>
        <w:t>c</w:t>
      </w:r>
      <w:r w:rsidRPr="00807DAF">
        <w:rPr>
          <w:szCs w:val="22"/>
          <w:u w:val="single"/>
        </w:rPr>
        <w:t xml:space="preserve">ontract as to avoid any exercise </w:t>
      </w:r>
      <w:r w:rsidRPr="0061511C">
        <w:rPr>
          <w:szCs w:val="22"/>
          <w:u w:val="single"/>
        </w:rPr>
        <w:t>of discretion.</w:t>
      </w:r>
      <w:r w:rsidR="00107C6D" w:rsidRPr="008503BC">
        <w:t>]</w:t>
      </w:r>
    </w:p>
    <w:p w14:paraId="11702388" w14:textId="77777777" w:rsidR="0045119A" w:rsidRPr="001B7D50" w:rsidRDefault="00910B7F" w:rsidP="00F36C74">
      <w:pPr>
        <w:spacing w:after="120" w:line="240" w:lineRule="atLeast"/>
        <w:rPr>
          <w:szCs w:val="22"/>
        </w:rPr>
      </w:pPr>
      <w:bookmarkStart w:id="22" w:name="_Hlk163805794"/>
      <w:bookmarkStart w:id="23" w:name="_Hlk163812486"/>
      <w:r>
        <w:rPr>
          <w:szCs w:val="22"/>
        </w:rPr>
        <w:t>Recipients of financial support cannot be de</w:t>
      </w:r>
      <w:r w:rsidR="00CE6CFB">
        <w:rPr>
          <w:szCs w:val="22"/>
        </w:rPr>
        <w:t>signated</w:t>
      </w:r>
      <w:r>
        <w:rPr>
          <w:szCs w:val="22"/>
        </w:rPr>
        <w:t xml:space="preserve"> in the lists of EU restrictive measures. </w:t>
      </w:r>
      <w:bookmarkEnd w:id="22"/>
      <w:r>
        <w:rPr>
          <w:szCs w:val="22"/>
        </w:rPr>
        <w:t xml:space="preserve"> </w:t>
      </w:r>
    </w:p>
    <w:bookmarkEnd w:id="23"/>
    <w:p w14:paraId="78AB5C26" w14:textId="77777777" w:rsidR="00107C6D" w:rsidRPr="001B7D50" w:rsidRDefault="00107C6D" w:rsidP="00F36C74">
      <w:pPr>
        <w:keepNext/>
        <w:spacing w:after="120" w:line="240" w:lineRule="atLeast"/>
        <w:rPr>
          <w:b/>
          <w:bCs/>
          <w:szCs w:val="22"/>
        </w:rPr>
      </w:pPr>
      <w:r w:rsidRPr="001B7D50">
        <w:rPr>
          <w:b/>
          <w:bCs/>
          <w:szCs w:val="22"/>
        </w:rPr>
        <w:t>Visibility</w:t>
      </w:r>
    </w:p>
    <w:p w14:paraId="60FB0B93" w14:textId="77777777" w:rsidR="00702B09" w:rsidRDefault="00622160" w:rsidP="00F36C74">
      <w:pPr>
        <w:spacing w:after="120" w:line="240" w:lineRule="atLeast"/>
        <w:rPr>
          <w:lang w:val="en-IE"/>
        </w:rPr>
      </w:pPr>
      <w:r w:rsidRPr="00807DAF">
        <w:t xml:space="preserve">The </w:t>
      </w:r>
      <w:r w:rsidR="003B254C">
        <w:t>a</w:t>
      </w:r>
      <w:r w:rsidRPr="00807DAF">
        <w:t xml:space="preserve">pplicants must take all necessary steps to </w:t>
      </w:r>
      <w:r w:rsidR="00584654" w:rsidRPr="00F32F61">
        <w:t>ensure the visibility of the European Union as the funder or co-</w:t>
      </w:r>
      <w:proofErr w:type="spellStart"/>
      <w:r w:rsidR="00584654" w:rsidRPr="00F32F61">
        <w:t>funder</w:t>
      </w:r>
      <w:proofErr w:type="spellEnd"/>
      <w:r w:rsidR="00584654" w:rsidRPr="00F32F61">
        <w:t xml:space="preserve"> of the action, through the correct and prominent display of the EU emblem and relevant funding statement</w:t>
      </w:r>
      <w:r w:rsidRPr="00807DAF">
        <w:t xml:space="preserve">. </w:t>
      </w:r>
      <w:r w:rsidR="00B46930" w:rsidRPr="00FA0527">
        <w:rPr>
          <w:lang w:val="en-IE"/>
        </w:rPr>
        <w:t xml:space="preserve">Unless the European Commission agrees otherwise, actions that are wholly or partially funded by the European Union must ensure the visibility of EU financing by displaying the EU emblem in accordance with the guidelines set out in the Operational guidelines for recipients of EU funding, published by the European Commission. </w:t>
      </w:r>
    </w:p>
    <w:p w14:paraId="19F7E44A" w14:textId="77777777" w:rsidR="00B46930" w:rsidRDefault="00B46930" w:rsidP="00F36C74">
      <w:pPr>
        <w:spacing w:after="120" w:line="240" w:lineRule="atLeast"/>
        <w:rPr>
          <w:lang w:val="en-IE"/>
        </w:rPr>
      </w:pPr>
      <w:r w:rsidRPr="00FA0527">
        <w:rPr>
          <w:lang w:val="en-IE"/>
        </w:rPr>
        <w:lastRenderedPageBreak/>
        <w:t xml:space="preserve">All measures and activities relating to visibility and, if applicable, communication, must </w:t>
      </w:r>
      <w:r>
        <w:rPr>
          <w:lang w:val="en-IE"/>
        </w:rPr>
        <w:t>comply</w:t>
      </w:r>
      <w:r w:rsidRPr="00FA0527">
        <w:rPr>
          <w:lang w:val="en-IE"/>
        </w:rPr>
        <w:t xml:space="preserve"> with the latest Communication and Visibility Requirements </w:t>
      </w:r>
      <w:r w:rsidR="0057624E">
        <w:rPr>
          <w:lang w:val="en-IE"/>
        </w:rPr>
        <w:t xml:space="preserve">for EU-funded external action, </w:t>
      </w:r>
      <w:r w:rsidRPr="00FA0527">
        <w:rPr>
          <w:lang w:val="en-IE"/>
        </w:rPr>
        <w:t xml:space="preserve">laid down and published by the European Commission  </w:t>
      </w:r>
      <w:hyperlink r:id="rId16" w:history="1">
        <w:r w:rsidR="0057624E">
          <w:rPr>
            <w:rStyle w:val="Hyperlink"/>
          </w:rPr>
          <w:t>Communication and Visibility Requirements for EU External Actions | International Partnerships (europa.eu)</w:t>
        </w:r>
      </w:hyperlink>
      <w:r w:rsidRPr="00FA0527">
        <w:rPr>
          <w:lang w:val="en-IE"/>
        </w:rPr>
        <w:t>.</w:t>
      </w:r>
    </w:p>
    <w:p w14:paraId="55FDB536" w14:textId="77777777" w:rsidR="003E52C8" w:rsidRDefault="00355806" w:rsidP="00F36C74">
      <w:pPr>
        <w:spacing w:after="120" w:line="240" w:lineRule="atLeast"/>
        <w:rPr>
          <w:color w:val="1F497D"/>
          <w:lang w:val="en-IE"/>
        </w:rPr>
      </w:pPr>
      <w:bookmarkStart w:id="24" w:name="_Hlk163812520"/>
      <w:r w:rsidRPr="00D50D61">
        <w:rPr>
          <w:lang w:val="en-IE"/>
        </w:rPr>
        <w:t>Derogation from contractual visibility obligations is permitted in exceptional situations, which may be required in the framework of this action due to security issues for the staff and beneficiaries, local political sensitivities, when this is in the interest of the beneficiary or the contracting authority. In such cases, visibility tools, products, and channels to be used in promoting a given action will be determined on a case-by-case basis, in consultation and agreement with the EU prior to limiting EU visibility. Requests for derogation from contractual visibility obligations should be included in Annex A.2 – Full application form and negotiated as part of the Special Conditions of the contract.</w:t>
      </w:r>
      <w:bookmarkEnd w:id="24"/>
    </w:p>
    <w:p w14:paraId="011DB9A7" w14:textId="77777777" w:rsidR="0007408E" w:rsidRPr="001B7D50" w:rsidRDefault="0007408E" w:rsidP="00F36C74">
      <w:pPr>
        <w:spacing w:after="120" w:line="240" w:lineRule="atLeast"/>
        <w:rPr>
          <w:b/>
          <w:bCs/>
        </w:rPr>
      </w:pPr>
      <w:r w:rsidRPr="001B7D50">
        <w:rPr>
          <w:b/>
          <w:bCs/>
        </w:rPr>
        <w:t xml:space="preserve">Number of </w:t>
      </w:r>
      <w:r w:rsidR="006459C5" w:rsidRPr="001B7D50">
        <w:rPr>
          <w:b/>
          <w:bCs/>
        </w:rPr>
        <w:t>application</w:t>
      </w:r>
      <w:r w:rsidRPr="001B7D50">
        <w:rPr>
          <w:b/>
          <w:bCs/>
        </w:rPr>
        <w:t>s and grants per applicant</w:t>
      </w:r>
      <w:r w:rsidR="00FA2479" w:rsidRPr="001B7D50">
        <w:rPr>
          <w:b/>
          <w:bCs/>
        </w:rPr>
        <w:t>s</w:t>
      </w:r>
      <w:r w:rsidR="00646638" w:rsidRPr="001B7D50">
        <w:rPr>
          <w:b/>
          <w:bCs/>
        </w:rPr>
        <w:t xml:space="preserve"> / affiliated entities</w:t>
      </w:r>
    </w:p>
    <w:p w14:paraId="6C67F7C2" w14:textId="77777777" w:rsidR="00645ECF" w:rsidRPr="00645ECF" w:rsidRDefault="00645ECF" w:rsidP="00645ECF">
      <w:pPr>
        <w:spacing w:after="120" w:line="240" w:lineRule="atLeast"/>
      </w:pPr>
      <w:r w:rsidRPr="00645ECF">
        <w:t>The lead applicant may not be awarded more than one grant under this call for proposals.</w:t>
      </w:r>
    </w:p>
    <w:p w14:paraId="6B98C13D" w14:textId="77777777" w:rsidR="00645ECF" w:rsidRPr="00645ECF" w:rsidRDefault="00645ECF" w:rsidP="00645ECF">
      <w:pPr>
        <w:spacing w:after="120" w:line="240" w:lineRule="atLeast"/>
      </w:pPr>
      <w:r w:rsidRPr="00645ECF">
        <w:t xml:space="preserve">The lead applicant may </w:t>
      </w:r>
      <w:r w:rsidR="009A4D05">
        <w:t xml:space="preserve">not </w:t>
      </w:r>
      <w:r w:rsidRPr="00645ECF">
        <w:t>be a co-applicant or an affiliated entity in another application of the same lot at the same time.</w:t>
      </w:r>
    </w:p>
    <w:p w14:paraId="5E3A3EF7" w14:textId="77777777" w:rsidR="00645ECF" w:rsidRPr="00645ECF" w:rsidRDefault="00645ECF" w:rsidP="00645ECF">
      <w:pPr>
        <w:spacing w:after="120" w:line="240" w:lineRule="atLeast"/>
      </w:pPr>
      <w:r w:rsidRPr="00645ECF">
        <w:t>The lead applicant may be a co-applicant or an affiliated entity in another application at the same time</w:t>
      </w:r>
      <w:r w:rsidR="009A4D05">
        <w:t xml:space="preserve"> in another lot</w:t>
      </w:r>
      <w:r w:rsidRPr="00645ECF">
        <w:t>.</w:t>
      </w:r>
    </w:p>
    <w:p w14:paraId="7B8E62AB" w14:textId="77777777" w:rsidR="00645ECF" w:rsidRDefault="00645ECF" w:rsidP="00645ECF">
      <w:pPr>
        <w:spacing w:after="120" w:line="240" w:lineRule="atLeast"/>
      </w:pPr>
      <w:r w:rsidRPr="00645ECF">
        <w:t xml:space="preserve">A co-applicant/affiliated entity may </w:t>
      </w:r>
      <w:r w:rsidR="009A4D05">
        <w:t xml:space="preserve">not </w:t>
      </w:r>
      <w:r w:rsidRPr="00645ECF">
        <w:t>be the co-applicant or affiliated entity in more than one application per lot under this call for proposals.</w:t>
      </w:r>
    </w:p>
    <w:p w14:paraId="206C2B44" w14:textId="77777777" w:rsidR="00645ECF" w:rsidRPr="00645ECF" w:rsidRDefault="00645ECF" w:rsidP="00645ECF">
      <w:pPr>
        <w:spacing w:after="120" w:line="240" w:lineRule="atLeast"/>
      </w:pPr>
      <w:r w:rsidRPr="00645ECF">
        <w:t>A co-applicant/affiliated entity may be the co-applicant or affiliated entity in more than one application this call for proposals.</w:t>
      </w:r>
    </w:p>
    <w:p w14:paraId="70C48DF7" w14:textId="77777777" w:rsidR="00645ECF" w:rsidRPr="00645ECF" w:rsidRDefault="00645ECF" w:rsidP="00645ECF">
      <w:pPr>
        <w:spacing w:after="120" w:line="240" w:lineRule="atLeast"/>
      </w:pPr>
      <w:r w:rsidRPr="00645ECF">
        <w:t>A co-applicant/affiliated entity may be awarded more than one grant under this call for proposals.</w:t>
      </w:r>
    </w:p>
    <w:p w14:paraId="3F873AC3" w14:textId="77777777" w:rsidR="00910B7F" w:rsidRPr="001B7D50" w:rsidRDefault="00910B7F" w:rsidP="00F36C74">
      <w:pPr>
        <w:spacing w:after="120" w:line="240" w:lineRule="atLeast"/>
        <w:rPr>
          <w:b/>
          <w:bCs/>
          <w:szCs w:val="22"/>
        </w:rPr>
      </w:pPr>
      <w:bookmarkStart w:id="25" w:name="_Hlk163812542"/>
      <w:bookmarkStart w:id="26" w:name="_Hlk163805913"/>
      <w:r w:rsidRPr="001B7D50">
        <w:rPr>
          <w:b/>
          <w:bCs/>
          <w:szCs w:val="22"/>
        </w:rPr>
        <w:t>Form of the grant</w:t>
      </w:r>
    </w:p>
    <w:p w14:paraId="41E61266" w14:textId="77777777" w:rsidR="00910B7F" w:rsidRDefault="00910B7F" w:rsidP="00F36C74">
      <w:pPr>
        <w:spacing w:after="120" w:line="240" w:lineRule="atLeast"/>
      </w:pPr>
      <w:r>
        <w:t>The grant</w:t>
      </w:r>
      <w:r w:rsidR="00AB1C93">
        <w:t>s</w:t>
      </w:r>
      <w:r>
        <w:t xml:space="preserve"> awarded under this call for proposals take </w:t>
      </w:r>
      <w:r w:rsidRPr="00807DAF">
        <w:t>the following form</w:t>
      </w:r>
      <w:r>
        <w:t>(</w:t>
      </w:r>
      <w:r w:rsidRPr="00807DAF">
        <w:t>s</w:t>
      </w:r>
      <w:r>
        <w:t>)</w:t>
      </w:r>
      <w:r w:rsidRPr="00807DAF">
        <w:t>:</w:t>
      </w:r>
    </w:p>
    <w:p w14:paraId="325C9870" w14:textId="77777777" w:rsidR="006C77A5" w:rsidRPr="00ED7CB2" w:rsidRDefault="006C77A5" w:rsidP="00F61F60">
      <w:pPr>
        <w:numPr>
          <w:ilvl w:val="0"/>
          <w:numId w:val="22"/>
        </w:numPr>
        <w:spacing w:after="120" w:line="240" w:lineRule="atLeast"/>
      </w:pPr>
      <w:r>
        <w:t>Reimbursement of eligible costs that may be based on any or a combination of the following forms as per Section 2.1.4:</w:t>
      </w:r>
    </w:p>
    <w:p w14:paraId="2550E22C" w14:textId="77777777" w:rsidR="006C77A5" w:rsidRPr="00B723AF" w:rsidRDefault="006C77A5" w:rsidP="006C77A5">
      <w:pPr>
        <w:spacing w:after="120" w:line="240" w:lineRule="atLeast"/>
        <w:ind w:firstLine="720"/>
      </w:pPr>
      <w:r>
        <w:t>(</w:t>
      </w:r>
      <w:proofErr w:type="spellStart"/>
      <w:r>
        <w:t>i</w:t>
      </w:r>
      <w:proofErr w:type="spellEnd"/>
      <w:r>
        <w:t xml:space="preserve">) </w:t>
      </w:r>
      <w:r w:rsidRPr="00B723AF">
        <w:t>actual costs incurred by the beneficiary(</w:t>
      </w:r>
      <w:proofErr w:type="spellStart"/>
      <w:r w:rsidRPr="00B723AF">
        <w:t>ies</w:t>
      </w:r>
      <w:proofErr w:type="spellEnd"/>
      <w:r w:rsidRPr="00B723AF">
        <w:t>) and affiliated entity(</w:t>
      </w:r>
      <w:proofErr w:type="spellStart"/>
      <w:r w:rsidRPr="00B723AF">
        <w:t>ies</w:t>
      </w:r>
      <w:proofErr w:type="spellEnd"/>
      <w:proofErr w:type="gramStart"/>
      <w:r w:rsidRPr="00B723AF">
        <w:t>);</w:t>
      </w:r>
      <w:proofErr w:type="gramEnd"/>
    </w:p>
    <w:p w14:paraId="2B017186" w14:textId="77777777" w:rsidR="006C77A5" w:rsidRPr="00807DAF" w:rsidRDefault="006C77A5" w:rsidP="001B7D50">
      <w:pPr>
        <w:spacing w:after="120" w:line="240" w:lineRule="atLeast"/>
        <w:ind w:left="720" w:firstLine="60"/>
      </w:pPr>
      <w:r>
        <w:t xml:space="preserve">(ii) </w:t>
      </w:r>
      <w:r w:rsidRPr="00BA6979">
        <w:t>one or more simplified cost options</w:t>
      </w:r>
      <w:r>
        <w:t>.</w:t>
      </w:r>
      <w:bookmarkEnd w:id="25"/>
      <w:bookmarkEnd w:id="26"/>
    </w:p>
    <w:p w14:paraId="716CFCB7" w14:textId="77777777" w:rsidR="0007408E" w:rsidRDefault="0007408E" w:rsidP="00F61F60">
      <w:pPr>
        <w:pStyle w:val="Guidelines3"/>
        <w:numPr>
          <w:ilvl w:val="2"/>
          <w:numId w:val="6"/>
        </w:numPr>
      </w:pPr>
      <w:bookmarkStart w:id="27" w:name="_Toc185257675"/>
      <w:r w:rsidRPr="00807DAF">
        <w:t>Eligibility of costs</w:t>
      </w:r>
      <w:r w:rsidR="00AB1C93">
        <w:t xml:space="preserve"> </w:t>
      </w:r>
      <w:bookmarkStart w:id="28" w:name="_Hlk163806140"/>
      <w:r w:rsidR="00AB1C93">
        <w:t xml:space="preserve">and </w:t>
      </w:r>
      <w:r w:rsidR="005E0C27">
        <w:t>eligibility of results/conditions</w:t>
      </w:r>
      <w:bookmarkEnd w:id="27"/>
      <w:bookmarkEnd w:id="28"/>
    </w:p>
    <w:p w14:paraId="7D27ECEA" w14:textId="77777777" w:rsidR="00BD0DE9" w:rsidRPr="00BD0DE9" w:rsidRDefault="00BD0DE9" w:rsidP="00BD0DE9"/>
    <w:p w14:paraId="7FB8D7B2" w14:textId="260480B8" w:rsidR="00C00C42" w:rsidRPr="00EC27B0" w:rsidRDefault="00C00C42" w:rsidP="00BD0DE9">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tLeast"/>
        <w:rPr>
          <w:b/>
          <w:bCs/>
        </w:rPr>
      </w:pPr>
      <w:bookmarkStart w:id="29" w:name="_Hlk163806154"/>
      <w:r w:rsidRPr="00BD0DE9">
        <w:rPr>
          <w:b/>
          <w:u w:val="single"/>
        </w:rPr>
        <w:t>Important notice to all applicants</w:t>
      </w:r>
      <w:r>
        <w:t xml:space="preserve">: </w:t>
      </w:r>
      <w:r w:rsidRPr="00EC27B0">
        <w:rPr>
          <w:b/>
          <w:bCs/>
        </w:rPr>
        <w:t>This call is financed under the Ukraine Facility. You are invited to make yourself familiar with the specific eligibility provisions under the Ukraine Facility</w:t>
      </w:r>
      <w:r w:rsidR="00EC27B0" w:rsidRPr="00EC27B0">
        <w:rPr>
          <w:b/>
          <w:bCs/>
        </w:rPr>
        <w:t xml:space="preserve"> and more particularly the Articles 11(1) and 11(3).</w:t>
      </w:r>
      <w:r w:rsidRPr="00EC27B0">
        <w:rPr>
          <w:b/>
          <w:bCs/>
        </w:rPr>
        <w:t xml:space="preserve"> Please refer to the Practical Guide for External Action Procedures, section 2.3. Participation in award procedures</w:t>
      </w:r>
      <w:r w:rsidR="00BD0DE9" w:rsidRPr="00EC27B0">
        <w:rPr>
          <w:rStyle w:val="FootnoteReference"/>
          <w:b/>
          <w:bCs/>
        </w:rPr>
        <w:footnoteReference w:id="24"/>
      </w:r>
      <w:r w:rsidRPr="00EC27B0">
        <w:rPr>
          <w:b/>
          <w:bCs/>
        </w:rPr>
        <w:t>. As compared to previous funding instruments, these rules have changed.</w:t>
      </w:r>
    </w:p>
    <w:p w14:paraId="7137D041" w14:textId="77777777" w:rsidR="00BD0DE9" w:rsidRDefault="00BD0DE9" w:rsidP="00F36C74">
      <w:pPr>
        <w:spacing w:after="120" w:line="240" w:lineRule="atLeast"/>
      </w:pPr>
    </w:p>
    <w:p w14:paraId="053D52EA" w14:textId="77777777" w:rsidR="005E0C27" w:rsidRPr="001B7D50" w:rsidRDefault="005E0C27" w:rsidP="00F36C74">
      <w:pPr>
        <w:spacing w:after="120" w:line="240" w:lineRule="atLeast"/>
        <w:rPr>
          <w:b/>
          <w:bCs/>
        </w:rPr>
      </w:pPr>
      <w:r w:rsidRPr="001B7D50">
        <w:t>Reimbursement of costs</w:t>
      </w:r>
    </w:p>
    <w:p w14:paraId="12B64DD1" w14:textId="77777777" w:rsidR="00EC27B0" w:rsidRDefault="0058116F" w:rsidP="00EC27B0">
      <w:pPr>
        <w:spacing w:after="120" w:line="240" w:lineRule="atLeast"/>
      </w:pPr>
      <w:r>
        <w:lastRenderedPageBreak/>
        <w:t>Where the grant takes the form of reimbursement of costs (</w:t>
      </w:r>
      <w:r w:rsidR="006C77A5">
        <w:t>entire</w:t>
      </w:r>
      <w:r>
        <w:t xml:space="preserve">ly or partially), </w:t>
      </w:r>
      <w:bookmarkEnd w:id="29"/>
      <w:r>
        <w:t>o</w:t>
      </w:r>
      <w:r w:rsidR="006224E4" w:rsidRPr="00807DAF">
        <w:t xml:space="preserve">nly ‘eligible costs’ can be covered by a grant. The categories of costs that are eligible and non-eligible are indicated below. The budget is both a cost estimate and an overall ceiling for </w:t>
      </w:r>
      <w:r>
        <w:t>“eligible costs”.</w:t>
      </w:r>
      <w:r w:rsidR="006224E4" w:rsidRPr="00807DAF">
        <w:t xml:space="preserve"> </w:t>
      </w:r>
      <w:bookmarkStart w:id="30" w:name="_Hlk163806310"/>
      <w:bookmarkStart w:id="31" w:name="_Hlk163812635"/>
    </w:p>
    <w:p w14:paraId="240FF369" w14:textId="29649509" w:rsidR="00645ECF" w:rsidRDefault="0058116F" w:rsidP="00EC27B0">
      <w:pPr>
        <w:spacing w:after="120" w:line="240" w:lineRule="atLeast"/>
      </w:pPr>
      <w:r>
        <w:t>Eligible costs can be reimbursed as actual costs</w:t>
      </w:r>
      <w:r w:rsidR="006C77A5">
        <w:rPr>
          <w:rStyle w:val="FootnoteReference"/>
        </w:rPr>
        <w:footnoteReference w:id="25"/>
      </w:r>
      <w:r>
        <w:t xml:space="preserve"> </w:t>
      </w:r>
    </w:p>
    <w:bookmarkEnd w:id="30"/>
    <w:bookmarkEnd w:id="31"/>
    <w:p w14:paraId="12F9C05D" w14:textId="77777777" w:rsidR="0007408E" w:rsidRPr="00807DAF" w:rsidRDefault="0007408E" w:rsidP="00F36C74">
      <w:pPr>
        <w:spacing w:after="120" w:line="240" w:lineRule="atLeast"/>
        <w:rPr>
          <w:u w:val="single"/>
        </w:rPr>
      </w:pPr>
      <w:r w:rsidRPr="00807DAF">
        <w:rPr>
          <w:u w:val="single"/>
        </w:rPr>
        <w:t>Eligible direct costs</w:t>
      </w:r>
    </w:p>
    <w:p w14:paraId="125572A0" w14:textId="77777777" w:rsidR="0007408E" w:rsidRPr="00807DAF" w:rsidRDefault="0007408E" w:rsidP="00F36C74">
      <w:pPr>
        <w:spacing w:after="120" w:line="240" w:lineRule="atLeast"/>
      </w:pPr>
      <w:r w:rsidRPr="00807DAF">
        <w:t>To be eligible under th</w:t>
      </w:r>
      <w:r w:rsidR="002C706C">
        <w:t>is</w:t>
      </w:r>
      <w:r w:rsidRPr="00807DAF">
        <w:t xml:space="preserve"> </w:t>
      </w:r>
      <w:r w:rsidR="00466C25">
        <w:t>c</w:t>
      </w:r>
      <w:r w:rsidRPr="00807DAF">
        <w:t xml:space="preserve">all for </w:t>
      </w:r>
      <w:r w:rsidR="00466C25">
        <w:t>p</w:t>
      </w:r>
      <w:r w:rsidRPr="00807DAF">
        <w:t>roposals, costs must</w:t>
      </w:r>
      <w:r w:rsidR="001870D3" w:rsidRPr="00807DAF">
        <w:t xml:space="preserve"> </w:t>
      </w:r>
      <w:r w:rsidR="00FB2666" w:rsidRPr="00807DAF">
        <w:t xml:space="preserve">comply with </w:t>
      </w:r>
      <w:r w:rsidR="001870D3" w:rsidRPr="00807DAF">
        <w:t xml:space="preserve">the provisions of </w:t>
      </w:r>
      <w:r w:rsidR="001D0C7B" w:rsidRPr="00807DAF">
        <w:t xml:space="preserve">Article </w:t>
      </w:r>
      <w:r w:rsidR="001870D3" w:rsidRPr="00807DAF">
        <w:t xml:space="preserve">14 of the </w:t>
      </w:r>
      <w:r w:rsidR="000D7ACD">
        <w:t>g</w:t>
      </w:r>
      <w:r w:rsidR="001870D3" w:rsidRPr="00807DAF">
        <w:t xml:space="preserve">eneral </w:t>
      </w:r>
      <w:r w:rsidR="000D7ACD">
        <w:t>c</w:t>
      </w:r>
      <w:r w:rsidR="001870D3" w:rsidRPr="00807DAF">
        <w:t xml:space="preserve">onditions to the </w:t>
      </w:r>
      <w:r w:rsidR="00466C25">
        <w:t>standard g</w:t>
      </w:r>
      <w:r w:rsidR="001870D3" w:rsidRPr="00807DAF">
        <w:t xml:space="preserve">rant </w:t>
      </w:r>
      <w:r w:rsidR="00466C25">
        <w:t>c</w:t>
      </w:r>
      <w:r w:rsidR="001870D3" w:rsidRPr="00807DAF">
        <w:t xml:space="preserve">ontract </w:t>
      </w:r>
      <w:r w:rsidR="00F06CB4" w:rsidRPr="00807DAF">
        <w:t xml:space="preserve">(see Annex </w:t>
      </w:r>
      <w:r w:rsidR="00826F51">
        <w:t>G</w:t>
      </w:r>
      <w:r w:rsidR="00AD295A">
        <w:t xml:space="preserve"> </w:t>
      </w:r>
      <w:r w:rsidR="004A51E9" w:rsidRPr="00807DAF">
        <w:t xml:space="preserve">of the </w:t>
      </w:r>
      <w:r w:rsidR="00466C25">
        <w:t>g</w:t>
      </w:r>
      <w:r w:rsidR="004A51E9" w:rsidRPr="00807DAF">
        <w:t>uidelines</w:t>
      </w:r>
      <w:r w:rsidR="00CE18C9" w:rsidRPr="00807DAF">
        <w:t>).</w:t>
      </w:r>
    </w:p>
    <w:p w14:paraId="731B187F" w14:textId="77777777" w:rsidR="00726FAD" w:rsidRPr="00BA6979" w:rsidRDefault="00726FAD" w:rsidP="00F36C74">
      <w:pPr>
        <w:spacing w:after="120" w:line="240" w:lineRule="atLeast"/>
      </w:pPr>
      <w:bookmarkStart w:id="32" w:name="_Hlk163806443"/>
      <w:bookmarkStart w:id="33" w:name="_Hlk163812824"/>
      <w:r w:rsidRPr="00BA6979">
        <w:t xml:space="preserve">Recommendations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w:t>
      </w:r>
      <w:proofErr w:type="gramStart"/>
      <w:r w:rsidRPr="00BA6979">
        <w:t>as a result of</w:t>
      </w:r>
      <w:proofErr w:type="gramEnd"/>
      <w:r w:rsidRPr="00BA6979">
        <w:t xml:space="preserve"> these corrections.</w:t>
      </w:r>
    </w:p>
    <w:p w14:paraId="7187BF10" w14:textId="77777777" w:rsidR="00726FAD" w:rsidRPr="00BA6979" w:rsidRDefault="00726FAD" w:rsidP="00F36C74">
      <w:pPr>
        <w:spacing w:after="120" w:line="240" w:lineRule="atLeast"/>
      </w:pPr>
      <w:bookmarkStart w:id="34" w:name="_Hlk163806452"/>
      <w:bookmarkEnd w:id="32"/>
      <w:r w:rsidRPr="00BA6979">
        <w:t xml:space="preserve">It is therefore in the applicants' interest to provide a </w:t>
      </w:r>
      <w:r w:rsidRPr="00BA6979">
        <w:rPr>
          <w:b/>
        </w:rPr>
        <w:t>realistic and cost-effective budget</w:t>
      </w:r>
      <w:r w:rsidRPr="00BA6979">
        <w:t>.</w:t>
      </w:r>
    </w:p>
    <w:bookmarkEnd w:id="33"/>
    <w:bookmarkEnd w:id="34"/>
    <w:p w14:paraId="7FB9BD9F" w14:textId="77777777" w:rsidR="007034C6" w:rsidRPr="00807DAF" w:rsidRDefault="007034C6" w:rsidP="00F36C74">
      <w:pPr>
        <w:spacing w:after="120" w:line="240" w:lineRule="atLeast"/>
        <w:rPr>
          <w:u w:val="single"/>
        </w:rPr>
      </w:pPr>
      <w:r w:rsidRPr="00807DAF">
        <w:rPr>
          <w:u w:val="single"/>
        </w:rPr>
        <w:t>Contingency reserve</w:t>
      </w:r>
    </w:p>
    <w:p w14:paraId="13AC83DC" w14:textId="77777777" w:rsidR="00AB1C93" w:rsidRPr="00807DAF" w:rsidRDefault="000B1032" w:rsidP="00F36C74">
      <w:pPr>
        <w:spacing w:after="120" w:line="240" w:lineRule="atLeast"/>
      </w:pPr>
      <w:r w:rsidRPr="00807DAF">
        <w:t xml:space="preserve">The </w:t>
      </w:r>
      <w:r w:rsidR="00CF5740" w:rsidRPr="00807DAF">
        <w:t>b</w:t>
      </w:r>
      <w:r w:rsidRPr="00807DAF">
        <w:t>udget may include a</w:t>
      </w:r>
      <w:r w:rsidR="007034C6" w:rsidRPr="00807DAF">
        <w:t xml:space="preserve"> contingency reserve not exceeding 5</w:t>
      </w:r>
      <w:r w:rsidR="00A016F9" w:rsidRPr="00807DAF">
        <w:rPr>
          <w:w w:val="50"/>
        </w:rPr>
        <w:t> </w:t>
      </w:r>
      <w:r w:rsidR="007034C6" w:rsidRPr="00807DAF">
        <w:t>% of the</w:t>
      </w:r>
      <w:r w:rsidR="00584247" w:rsidRPr="00807DAF">
        <w:t xml:space="preserve"> estimated</w:t>
      </w:r>
      <w:r w:rsidR="007034C6" w:rsidRPr="00807DAF">
        <w:t xml:space="preserve"> direct eligible costs</w:t>
      </w:r>
      <w:r w:rsidR="00BC4CCE">
        <w:t xml:space="preserve"> </w:t>
      </w:r>
      <w:bookmarkStart w:id="35" w:name="_Hlk165559714"/>
      <w:r w:rsidR="00BC4CCE">
        <w:t>(in case of actions comprising also financing not linked to costs, to be calculated on the cost-based component)</w:t>
      </w:r>
      <w:bookmarkEnd w:id="35"/>
      <w:r w:rsidR="007034C6" w:rsidRPr="00807DAF">
        <w:t xml:space="preserve">. It can only be used with the </w:t>
      </w:r>
      <w:r w:rsidR="007034C6" w:rsidRPr="00807DAF">
        <w:rPr>
          <w:b/>
        </w:rPr>
        <w:t>prior written</w:t>
      </w:r>
      <w:r w:rsidR="007034C6" w:rsidRPr="00807DAF">
        <w:t xml:space="preserve"> </w:t>
      </w:r>
      <w:r w:rsidR="007034C6" w:rsidRPr="00807DAF">
        <w:rPr>
          <w:b/>
        </w:rPr>
        <w:t>authorisation</w:t>
      </w:r>
      <w:r w:rsidR="007034C6" w:rsidRPr="00807DAF">
        <w:t xml:space="preserve"> of the </w:t>
      </w:r>
      <w:r w:rsidR="000D7ACD">
        <w:t>c</w:t>
      </w:r>
      <w:r w:rsidR="007034C6" w:rsidRPr="00807DAF">
        <w:t xml:space="preserve">ontracting </w:t>
      </w:r>
      <w:r w:rsidR="000D7ACD">
        <w:t>a</w:t>
      </w:r>
      <w:r w:rsidR="007034C6" w:rsidRPr="00807DAF">
        <w:t>uthority.</w:t>
      </w:r>
    </w:p>
    <w:p w14:paraId="5C4B5594" w14:textId="77777777" w:rsidR="0007408E" w:rsidRPr="00807DAF" w:rsidRDefault="0007408E" w:rsidP="00F36C74">
      <w:pPr>
        <w:spacing w:after="120" w:line="240" w:lineRule="atLeast"/>
        <w:rPr>
          <w:u w:val="single"/>
        </w:rPr>
      </w:pPr>
      <w:r w:rsidRPr="00807DAF">
        <w:rPr>
          <w:u w:val="single"/>
        </w:rPr>
        <w:t>Eligible indirect costs</w:t>
      </w:r>
    </w:p>
    <w:p w14:paraId="511EF39E" w14:textId="77777777" w:rsidR="00460729" w:rsidRPr="00807DAF" w:rsidRDefault="00460729" w:rsidP="00F36C74">
      <w:pPr>
        <w:spacing w:after="120" w:line="240" w:lineRule="atLeast"/>
        <w:rPr>
          <w:lang w:eastAsia="en-GB" w:bidi="kn-IN"/>
        </w:rPr>
      </w:pPr>
      <w:r w:rsidRPr="00807DAF">
        <w:rPr>
          <w:lang w:eastAsia="en-GB" w:bidi="kn-IN"/>
        </w:rPr>
        <w:t>The indirect costs incurred in carrying out the action may be eligible for flat-rate funding</w:t>
      </w:r>
      <w:r w:rsidR="00466510" w:rsidRPr="00807DAF">
        <w:rPr>
          <w:lang w:eastAsia="en-GB" w:bidi="kn-IN"/>
        </w:rPr>
        <w:t>,</w:t>
      </w:r>
      <w:r w:rsidRPr="00807DAF">
        <w:rPr>
          <w:lang w:eastAsia="en-GB" w:bidi="kn-IN"/>
        </w:rPr>
        <w:t xml:space="preserve"> </w:t>
      </w:r>
      <w:r w:rsidR="00B1674B" w:rsidRPr="00807DAF">
        <w:rPr>
          <w:lang w:eastAsia="en-GB" w:bidi="kn-IN"/>
        </w:rPr>
        <w:t>but the total must not exceed</w:t>
      </w:r>
      <w:r w:rsidRPr="00807DAF">
        <w:rPr>
          <w:lang w:eastAsia="en-GB" w:bidi="kn-IN"/>
        </w:rPr>
        <w:t xml:space="preserve"> 7</w:t>
      </w:r>
      <w:r w:rsidR="00A016F9" w:rsidRPr="00807DAF">
        <w:rPr>
          <w:w w:val="50"/>
          <w:lang w:eastAsia="en-GB" w:bidi="kn-IN"/>
        </w:rPr>
        <w:t> </w:t>
      </w:r>
      <w:r w:rsidRPr="00807DAF">
        <w:rPr>
          <w:lang w:eastAsia="en-GB" w:bidi="kn-IN"/>
        </w:rPr>
        <w:t>%</w:t>
      </w:r>
      <w:r w:rsidR="00EB3DA4" w:rsidRPr="00807DAF">
        <w:rPr>
          <w:lang w:eastAsia="en-GB" w:bidi="kn-IN"/>
        </w:rPr>
        <w:t xml:space="preserve"> </w:t>
      </w:r>
      <w:r w:rsidRPr="00807DAF">
        <w:rPr>
          <w:lang w:eastAsia="en-GB" w:bidi="kn-IN"/>
        </w:rPr>
        <w:t xml:space="preserve">of the </w:t>
      </w:r>
      <w:r w:rsidR="00584247" w:rsidRPr="00807DAF">
        <w:rPr>
          <w:lang w:eastAsia="en-GB" w:bidi="kn-IN"/>
        </w:rPr>
        <w:t xml:space="preserve">estimated </w:t>
      </w:r>
      <w:r w:rsidRPr="00807DAF">
        <w:rPr>
          <w:lang w:eastAsia="en-GB" w:bidi="kn-IN"/>
        </w:rPr>
        <w:t>total eligible direct costs</w:t>
      </w:r>
      <w:r w:rsidR="0043402F">
        <w:rPr>
          <w:lang w:eastAsia="en-GB" w:bidi="kn-IN"/>
        </w:rPr>
        <w:t xml:space="preserve"> </w:t>
      </w:r>
      <w:bookmarkStart w:id="36" w:name="_Hlk164940031"/>
      <w:r w:rsidR="0043402F">
        <w:rPr>
          <w:lang w:eastAsia="en-GB" w:bidi="kn-IN"/>
        </w:rPr>
        <w:t>(except volunteer costs and project office costs)</w:t>
      </w:r>
      <w:bookmarkEnd w:id="36"/>
      <w:r w:rsidR="00BC4CCE">
        <w:rPr>
          <w:lang w:eastAsia="en-GB" w:bidi="kn-IN"/>
        </w:rPr>
        <w:t xml:space="preserve"> </w:t>
      </w:r>
      <w:r w:rsidR="00BC4CCE">
        <w:t>(in case of actions comprising also financing not linked to costs, to be calculated on the cost-based component)</w:t>
      </w:r>
      <w:r w:rsidRPr="00807DAF">
        <w:rPr>
          <w:sz w:val="20"/>
          <w:lang w:eastAsia="en-GB" w:bidi="kn-IN"/>
        </w:rPr>
        <w:t>.</w:t>
      </w:r>
      <w:r w:rsidR="00E2380E" w:rsidRPr="00807DAF">
        <w:rPr>
          <w:sz w:val="20"/>
          <w:lang w:eastAsia="en-GB" w:bidi="kn-IN"/>
        </w:rPr>
        <w:t xml:space="preserve"> </w:t>
      </w:r>
      <w:r w:rsidR="00E2380E" w:rsidRPr="00807DAF">
        <w:rPr>
          <w:lang w:eastAsia="en-GB" w:bidi="kn-IN"/>
        </w:rPr>
        <w:t xml:space="preserve">Indirect costs are eligible </w:t>
      </w:r>
      <w:proofErr w:type="gramStart"/>
      <w:r w:rsidR="00E2380E" w:rsidRPr="00807DAF">
        <w:rPr>
          <w:lang w:eastAsia="en-GB" w:bidi="kn-IN"/>
        </w:rPr>
        <w:t>provided that</w:t>
      </w:r>
      <w:proofErr w:type="gramEnd"/>
      <w:r w:rsidR="00E2380E" w:rsidRPr="00807DAF">
        <w:rPr>
          <w:lang w:eastAsia="en-GB" w:bidi="kn-IN"/>
        </w:rPr>
        <w:t xml:space="preserve"> they do not include costs assigned to another</w:t>
      </w:r>
      <w:r w:rsidR="00B1674B" w:rsidRPr="00807DAF">
        <w:rPr>
          <w:lang w:eastAsia="en-GB" w:bidi="kn-IN"/>
        </w:rPr>
        <w:t xml:space="preserve"> budget</w:t>
      </w:r>
      <w:r w:rsidR="00E2380E" w:rsidRPr="00807DAF">
        <w:rPr>
          <w:lang w:eastAsia="en-GB" w:bidi="kn-IN"/>
        </w:rPr>
        <w:t xml:space="preserve"> heading </w:t>
      </w:r>
      <w:r w:rsidR="00B1674B" w:rsidRPr="00807DAF">
        <w:rPr>
          <w:lang w:eastAsia="en-GB" w:bidi="kn-IN"/>
        </w:rPr>
        <w:t>in</w:t>
      </w:r>
      <w:r w:rsidR="00450369" w:rsidRPr="00807DAF">
        <w:rPr>
          <w:lang w:eastAsia="en-GB" w:bidi="kn-IN"/>
        </w:rPr>
        <w:t xml:space="preserve"> the standard grant c</w:t>
      </w:r>
      <w:r w:rsidR="00E2380E" w:rsidRPr="00807DAF">
        <w:rPr>
          <w:lang w:eastAsia="en-GB" w:bidi="kn-IN"/>
        </w:rPr>
        <w:t xml:space="preserve">ontract. The </w:t>
      </w:r>
      <w:r w:rsidR="00B114D9">
        <w:rPr>
          <w:lang w:eastAsia="en-GB" w:bidi="kn-IN"/>
        </w:rPr>
        <w:t>lead a</w:t>
      </w:r>
      <w:r w:rsidR="00E2380E" w:rsidRPr="00807DAF">
        <w:rPr>
          <w:lang w:eastAsia="en-GB" w:bidi="kn-IN"/>
        </w:rPr>
        <w:t xml:space="preserve">pplicant may be asked to justify the percentage </w:t>
      </w:r>
      <w:r w:rsidR="00B1674B" w:rsidRPr="00807DAF">
        <w:rPr>
          <w:lang w:eastAsia="en-GB" w:bidi="kn-IN"/>
        </w:rPr>
        <w:t xml:space="preserve">requested </w:t>
      </w:r>
      <w:r w:rsidR="00E2380E" w:rsidRPr="00807DAF">
        <w:rPr>
          <w:lang w:eastAsia="en-GB" w:bidi="kn-IN"/>
        </w:rPr>
        <w:t xml:space="preserve">before </w:t>
      </w:r>
      <w:r w:rsidR="00B1674B" w:rsidRPr="00807DAF">
        <w:rPr>
          <w:lang w:eastAsia="en-GB" w:bidi="kn-IN"/>
        </w:rPr>
        <w:t xml:space="preserve">the </w:t>
      </w:r>
      <w:r w:rsidR="00466C25">
        <w:rPr>
          <w:lang w:eastAsia="en-GB" w:bidi="kn-IN"/>
        </w:rPr>
        <w:t>g</w:t>
      </w:r>
      <w:r w:rsidR="004F6678">
        <w:rPr>
          <w:lang w:eastAsia="en-GB" w:bidi="kn-IN"/>
        </w:rPr>
        <w:t xml:space="preserve">rant </w:t>
      </w:r>
      <w:r w:rsidR="00466C25">
        <w:rPr>
          <w:lang w:eastAsia="en-GB" w:bidi="kn-IN"/>
        </w:rPr>
        <w:t>c</w:t>
      </w:r>
      <w:r w:rsidR="00E2380E" w:rsidRPr="00807DAF">
        <w:rPr>
          <w:lang w:eastAsia="en-GB" w:bidi="kn-IN"/>
        </w:rPr>
        <w:t>ontract</w:t>
      </w:r>
      <w:r w:rsidR="00B1674B" w:rsidRPr="00807DAF">
        <w:rPr>
          <w:lang w:eastAsia="en-GB" w:bidi="kn-IN"/>
        </w:rPr>
        <w:t xml:space="preserve"> is signed</w:t>
      </w:r>
      <w:r w:rsidR="00E2380E" w:rsidRPr="00807DAF">
        <w:rPr>
          <w:lang w:eastAsia="en-GB" w:bidi="kn-IN"/>
        </w:rPr>
        <w:t>. However, once the flat</w:t>
      </w:r>
      <w:r w:rsidR="00B1674B" w:rsidRPr="00807DAF">
        <w:rPr>
          <w:lang w:eastAsia="en-GB" w:bidi="kn-IN"/>
        </w:rPr>
        <w:t xml:space="preserve"> </w:t>
      </w:r>
      <w:r w:rsidR="00E2380E" w:rsidRPr="00807DAF">
        <w:rPr>
          <w:lang w:eastAsia="en-GB" w:bidi="kn-IN"/>
        </w:rPr>
        <w:t>rate has been fixed in the</w:t>
      </w:r>
      <w:r w:rsidR="00450369" w:rsidRPr="00807DAF">
        <w:rPr>
          <w:lang w:eastAsia="en-GB" w:bidi="kn-IN"/>
        </w:rPr>
        <w:t xml:space="preserve"> </w:t>
      </w:r>
      <w:r w:rsidR="000D7ACD">
        <w:rPr>
          <w:lang w:eastAsia="en-GB" w:bidi="kn-IN"/>
        </w:rPr>
        <w:t>s</w:t>
      </w:r>
      <w:r w:rsidR="00450369" w:rsidRPr="00807DAF">
        <w:rPr>
          <w:lang w:eastAsia="en-GB" w:bidi="kn-IN"/>
        </w:rPr>
        <w:t xml:space="preserve">pecial </w:t>
      </w:r>
      <w:r w:rsidR="000D7ACD">
        <w:rPr>
          <w:lang w:eastAsia="en-GB" w:bidi="kn-IN"/>
        </w:rPr>
        <w:t>c</w:t>
      </w:r>
      <w:r w:rsidR="00450369" w:rsidRPr="00807DAF">
        <w:rPr>
          <w:lang w:eastAsia="en-GB" w:bidi="kn-IN"/>
        </w:rPr>
        <w:t xml:space="preserve">onditions of the </w:t>
      </w:r>
      <w:r w:rsidR="00466C25">
        <w:rPr>
          <w:lang w:eastAsia="en-GB" w:bidi="kn-IN"/>
        </w:rPr>
        <w:t>g</w:t>
      </w:r>
      <w:r w:rsidR="00450369" w:rsidRPr="00807DAF">
        <w:rPr>
          <w:lang w:eastAsia="en-GB" w:bidi="kn-IN"/>
        </w:rPr>
        <w:t>rant</w:t>
      </w:r>
      <w:r w:rsidR="00E2380E" w:rsidRPr="00807DAF">
        <w:rPr>
          <w:lang w:eastAsia="en-GB" w:bidi="kn-IN"/>
        </w:rPr>
        <w:t xml:space="preserve"> </w:t>
      </w:r>
      <w:r w:rsidR="00466C25">
        <w:rPr>
          <w:lang w:eastAsia="en-GB" w:bidi="kn-IN"/>
        </w:rPr>
        <w:t>c</w:t>
      </w:r>
      <w:r w:rsidR="00E2380E" w:rsidRPr="00807DAF">
        <w:rPr>
          <w:lang w:eastAsia="en-GB" w:bidi="kn-IN"/>
        </w:rPr>
        <w:t>ontract, no supporting documents need to be provided.</w:t>
      </w:r>
    </w:p>
    <w:p w14:paraId="2B74E0F9" w14:textId="77777777" w:rsidR="00460729" w:rsidRPr="00807DAF" w:rsidRDefault="00460729" w:rsidP="00F36C74">
      <w:pPr>
        <w:spacing w:after="120" w:line="240" w:lineRule="atLeast"/>
        <w:rPr>
          <w:lang w:eastAsia="en-GB" w:bidi="kn-IN"/>
        </w:rPr>
      </w:pPr>
      <w:r w:rsidRPr="00807DAF">
        <w:rPr>
          <w:lang w:eastAsia="en-GB" w:bidi="kn-IN"/>
        </w:rPr>
        <w:t xml:space="preserve">If </w:t>
      </w:r>
      <w:r w:rsidR="00A703F1" w:rsidRPr="00807DAF">
        <w:rPr>
          <w:lang w:eastAsia="en-GB" w:bidi="kn-IN"/>
        </w:rPr>
        <w:t>any of the</w:t>
      </w:r>
      <w:r w:rsidR="00705C17" w:rsidRPr="00807DAF">
        <w:rPr>
          <w:lang w:eastAsia="en-GB" w:bidi="kn-IN"/>
        </w:rPr>
        <w:t xml:space="preserve"> </w:t>
      </w:r>
      <w:r w:rsidRPr="00807DAF">
        <w:rPr>
          <w:lang w:eastAsia="en-GB" w:bidi="kn-IN"/>
        </w:rPr>
        <w:t>applicant</w:t>
      </w:r>
      <w:r w:rsidR="00A703F1" w:rsidRPr="00807DAF">
        <w:rPr>
          <w:lang w:eastAsia="en-GB" w:bidi="kn-IN"/>
        </w:rPr>
        <w:t>s</w:t>
      </w:r>
      <w:r w:rsidRPr="00807DAF">
        <w:rPr>
          <w:lang w:eastAsia="en-GB" w:bidi="kn-IN"/>
        </w:rPr>
        <w:t xml:space="preserve"> </w:t>
      </w:r>
      <w:r w:rsidR="00A703F1" w:rsidRPr="00807DAF">
        <w:rPr>
          <w:lang w:eastAsia="en-GB" w:bidi="kn-IN"/>
        </w:rPr>
        <w:t>or affiliated entity(</w:t>
      </w:r>
      <w:proofErr w:type="spellStart"/>
      <w:r w:rsidR="00A703F1" w:rsidRPr="00807DAF">
        <w:rPr>
          <w:lang w:eastAsia="en-GB" w:bidi="kn-IN"/>
        </w:rPr>
        <w:t>ies</w:t>
      </w:r>
      <w:proofErr w:type="spellEnd"/>
      <w:r w:rsidR="00A703F1" w:rsidRPr="00807DAF">
        <w:rPr>
          <w:lang w:eastAsia="en-GB" w:bidi="kn-IN"/>
        </w:rPr>
        <w:t xml:space="preserve">) </w:t>
      </w:r>
      <w:r w:rsidRPr="00807DAF">
        <w:rPr>
          <w:lang w:eastAsia="en-GB" w:bidi="kn-IN"/>
        </w:rPr>
        <w:t xml:space="preserve">is in receipt of an operating grant financed </w:t>
      </w:r>
      <w:r w:rsidR="00705C17" w:rsidRPr="00807DAF">
        <w:rPr>
          <w:lang w:eastAsia="en-GB" w:bidi="kn-IN"/>
        </w:rPr>
        <w:t xml:space="preserve">by </w:t>
      </w:r>
      <w:r w:rsidRPr="00807DAF">
        <w:rPr>
          <w:lang w:eastAsia="en-GB" w:bidi="kn-IN"/>
        </w:rPr>
        <w:t xml:space="preserve">the </w:t>
      </w:r>
      <w:r w:rsidR="00D65E10" w:rsidRPr="00807DAF">
        <w:rPr>
          <w:lang w:eastAsia="en-GB" w:bidi="kn-IN"/>
        </w:rPr>
        <w:t>EU</w:t>
      </w:r>
      <w:r w:rsidR="00601848" w:rsidRPr="00807DAF">
        <w:rPr>
          <w:lang w:eastAsia="en-GB" w:bidi="kn-IN"/>
        </w:rPr>
        <w:t xml:space="preserve">, </w:t>
      </w:r>
      <w:r w:rsidR="00705C17" w:rsidRPr="00807DAF">
        <w:rPr>
          <w:lang w:eastAsia="en-GB" w:bidi="kn-IN"/>
        </w:rPr>
        <w:t>it may not claim</w:t>
      </w:r>
      <w:r w:rsidRPr="00807DAF">
        <w:rPr>
          <w:lang w:eastAsia="en-GB" w:bidi="kn-IN"/>
        </w:rPr>
        <w:t xml:space="preserve"> indirect costs</w:t>
      </w:r>
      <w:r w:rsidR="00705C17" w:rsidRPr="00807DAF">
        <w:rPr>
          <w:lang w:eastAsia="en-GB" w:bidi="kn-IN"/>
        </w:rPr>
        <w:t xml:space="preserve"> on its incurred costs</w:t>
      </w:r>
      <w:r w:rsidR="00705C17" w:rsidRPr="00807DAF">
        <w:rPr>
          <w:color w:val="0000FF"/>
          <w:sz w:val="20"/>
          <w:lang w:eastAsia="en-GB" w:bidi="kn-IN"/>
        </w:rPr>
        <w:t xml:space="preserve"> </w:t>
      </w:r>
      <w:r w:rsidRPr="00807DAF">
        <w:rPr>
          <w:lang w:eastAsia="en-GB" w:bidi="kn-IN"/>
        </w:rPr>
        <w:t>within the proposed budget for the action.</w:t>
      </w:r>
    </w:p>
    <w:p w14:paraId="3DE76B80" w14:textId="77777777" w:rsidR="0007408E" w:rsidRPr="00807DAF" w:rsidRDefault="0007408E" w:rsidP="00F36C74">
      <w:pPr>
        <w:spacing w:after="120" w:line="240" w:lineRule="atLeast"/>
        <w:rPr>
          <w:u w:val="single"/>
        </w:rPr>
      </w:pPr>
      <w:r w:rsidRPr="00807DAF">
        <w:rPr>
          <w:u w:val="single"/>
        </w:rPr>
        <w:t>Contributions in kind</w:t>
      </w:r>
    </w:p>
    <w:p w14:paraId="7213EC6E" w14:textId="77777777" w:rsidR="007815B2" w:rsidRDefault="008A62F6" w:rsidP="00F36C74">
      <w:pPr>
        <w:spacing w:after="120" w:line="240" w:lineRule="atLeast"/>
      </w:pPr>
      <w:r w:rsidRPr="00807DAF">
        <w:t xml:space="preserve">Contributions in kind mean the provision of goods or services to </w:t>
      </w:r>
      <w:r w:rsidR="000D61C6">
        <w:t>b</w:t>
      </w:r>
      <w:r w:rsidRPr="00807DAF">
        <w:t>eneficiar</w:t>
      </w:r>
      <w:r w:rsidR="00101AEE" w:rsidRPr="00807DAF">
        <w:t>ies</w:t>
      </w:r>
      <w:r w:rsidR="00A703F1" w:rsidRPr="00807DAF">
        <w:t xml:space="preserve"> or </w:t>
      </w:r>
      <w:r w:rsidR="00A703F1" w:rsidRPr="00807DAF">
        <w:rPr>
          <w:lang w:eastAsia="en-GB" w:bidi="kn-IN"/>
        </w:rPr>
        <w:t xml:space="preserve">affiliated entities </w:t>
      </w:r>
      <w:r w:rsidRPr="00807DAF">
        <w:t xml:space="preserve">free of charge by a third party. As contributions in kind do not involve any expenditure for </w:t>
      </w:r>
      <w:r w:rsidR="000D61C6">
        <w:t>b</w:t>
      </w:r>
      <w:r w:rsidRPr="00807DAF">
        <w:t>eneficiar</w:t>
      </w:r>
      <w:r w:rsidR="00101AEE" w:rsidRPr="00807DAF">
        <w:t>ies</w:t>
      </w:r>
      <w:r w:rsidR="00A703F1" w:rsidRPr="00807DAF">
        <w:t xml:space="preserve"> </w:t>
      </w:r>
      <w:r w:rsidR="00A703F1" w:rsidRPr="00807DAF">
        <w:rPr>
          <w:lang w:eastAsia="en-GB" w:bidi="kn-IN"/>
        </w:rPr>
        <w:t>or affiliated entities</w:t>
      </w:r>
      <w:r w:rsidRPr="00807DAF">
        <w:t>, they are not eligible costs</w:t>
      </w:r>
      <w:r w:rsidR="009531D0">
        <w:t xml:space="preserve"> (</w:t>
      </w:r>
      <w:r w:rsidR="009531D0" w:rsidRPr="009531D0">
        <w:t xml:space="preserve">except for personnel costs for the work carried out by volunteers under an action or </w:t>
      </w:r>
      <w:r w:rsidR="00B44EF3">
        <w:t>operating grant</w:t>
      </w:r>
      <w:r w:rsidR="009531D0">
        <w:t xml:space="preserve"> if so authorised</w:t>
      </w:r>
      <w:r w:rsidR="009531D0" w:rsidRPr="009531D0">
        <w:t>)</w:t>
      </w:r>
      <w:r w:rsidRPr="00807DAF">
        <w:t>.</w:t>
      </w:r>
      <w:r w:rsidR="006507EF" w:rsidRPr="00807DAF">
        <w:t xml:space="preserve"> </w:t>
      </w:r>
    </w:p>
    <w:p w14:paraId="01623D7D" w14:textId="77777777" w:rsidR="00F52B38" w:rsidRPr="00807DAF" w:rsidRDefault="00BC7EE3" w:rsidP="00F36C74">
      <w:pPr>
        <w:spacing w:after="120" w:line="240" w:lineRule="atLeast"/>
      </w:pPr>
      <w:r w:rsidRPr="00807DAF">
        <w:t>C</w:t>
      </w:r>
      <w:r w:rsidR="00F52B38" w:rsidRPr="00807DAF">
        <w:t>ontributions in kind may not be treated as co-financing</w:t>
      </w:r>
      <w:r w:rsidR="00BC4CCE">
        <w:t>.</w:t>
      </w:r>
    </w:p>
    <w:p w14:paraId="30DD8BE6" w14:textId="77777777" w:rsidR="00F52B38" w:rsidRDefault="00BC7EE3" w:rsidP="00F36C74">
      <w:pPr>
        <w:spacing w:after="120" w:line="240" w:lineRule="atLeast"/>
      </w:pPr>
      <w:r w:rsidRPr="00807DAF">
        <w:t>However</w:t>
      </w:r>
      <w:r w:rsidR="00F52B38" w:rsidRPr="00807DAF">
        <w:t xml:space="preserve">, if the description of the action as proposed </w:t>
      </w:r>
      <w:r w:rsidRPr="00807DAF">
        <w:t>includes</w:t>
      </w:r>
      <w:r w:rsidR="00F52B38" w:rsidRPr="00807DAF">
        <w:t xml:space="preserve"> contributions in kind, </w:t>
      </w:r>
      <w:r w:rsidRPr="00807DAF">
        <w:t xml:space="preserve">the </w:t>
      </w:r>
      <w:r w:rsidR="00F52B38" w:rsidRPr="00807DAF">
        <w:t xml:space="preserve">contributions </w:t>
      </w:r>
      <w:proofErr w:type="gramStart"/>
      <w:r w:rsidR="00F52B38" w:rsidRPr="00807DAF">
        <w:t>have to</w:t>
      </w:r>
      <w:proofErr w:type="gramEnd"/>
      <w:r w:rsidR="00F52B38" w:rsidRPr="00807DAF">
        <w:t xml:space="preserve"> be</w:t>
      </w:r>
      <w:r w:rsidR="005D2AC6" w:rsidRPr="00807DAF">
        <w:t xml:space="preserve"> </w:t>
      </w:r>
      <w:r w:rsidRPr="00807DAF">
        <w:t>made</w:t>
      </w:r>
      <w:r w:rsidR="00F52B38" w:rsidRPr="00807DAF">
        <w:t>.</w:t>
      </w:r>
    </w:p>
    <w:p w14:paraId="3E4CC5D5" w14:textId="77777777" w:rsidR="00101AEE" w:rsidRPr="00807DAF" w:rsidRDefault="00101AEE" w:rsidP="00F36C74">
      <w:pPr>
        <w:spacing w:after="120" w:line="240" w:lineRule="atLeast"/>
        <w:rPr>
          <w:highlight w:val="yellow"/>
        </w:rPr>
      </w:pPr>
      <w:r w:rsidRPr="00807DAF">
        <w:rPr>
          <w:highlight w:val="yellow"/>
        </w:rPr>
        <w:t xml:space="preserve"> </w:t>
      </w:r>
    </w:p>
    <w:p w14:paraId="224E421A" w14:textId="77777777" w:rsidR="005C4541" w:rsidRDefault="00EB11B8" w:rsidP="00F36C74">
      <w:pPr>
        <w:spacing w:after="120" w:line="240" w:lineRule="atLeast"/>
      </w:pPr>
      <w:r>
        <w:t>Other co-financing shall be based on estimates provided by the applicant.</w:t>
      </w:r>
    </w:p>
    <w:p w14:paraId="2F4AA6C7" w14:textId="77777777" w:rsidR="00511112" w:rsidRPr="00807DAF" w:rsidRDefault="00511112" w:rsidP="00F36C74">
      <w:pPr>
        <w:spacing w:after="120" w:line="240" w:lineRule="atLeast"/>
        <w:rPr>
          <w:u w:val="single"/>
        </w:rPr>
      </w:pPr>
      <w:r w:rsidRPr="00807DAF">
        <w:rPr>
          <w:u w:val="single"/>
        </w:rPr>
        <w:t>Ineligible costs</w:t>
      </w:r>
    </w:p>
    <w:p w14:paraId="5DECF722" w14:textId="77777777" w:rsidR="00511112" w:rsidRPr="00807DAF" w:rsidRDefault="0043402F" w:rsidP="00F36C74">
      <w:pPr>
        <w:spacing w:after="120" w:line="240" w:lineRule="atLeast"/>
      </w:pPr>
      <w:r w:rsidRPr="0043402F">
        <w:t xml:space="preserve">Costs that do not comply with the conditions laid down in the contract are not eligible. </w:t>
      </w:r>
      <w:r w:rsidR="00511112" w:rsidRPr="00807DAF">
        <w:t>The following costs are not eligible:</w:t>
      </w:r>
    </w:p>
    <w:p w14:paraId="66D1C132" w14:textId="77777777" w:rsidR="00AC1803" w:rsidRPr="00807DAF" w:rsidRDefault="00511112" w:rsidP="00F61F60">
      <w:pPr>
        <w:numPr>
          <w:ilvl w:val="0"/>
          <w:numId w:val="12"/>
        </w:numPr>
        <w:spacing w:after="120" w:line="240" w:lineRule="atLeast"/>
      </w:pPr>
      <w:r w:rsidRPr="00807DAF">
        <w:t>debts and debt</w:t>
      </w:r>
      <w:r w:rsidR="00AC1803" w:rsidRPr="00807DAF">
        <w:t xml:space="preserve"> service charges</w:t>
      </w:r>
      <w:r w:rsidR="00516FC2" w:rsidRPr="00807DAF">
        <w:t xml:space="preserve"> (interest</w:t>
      </w:r>
      <w:proofErr w:type="gramStart"/>
      <w:r w:rsidR="00516FC2" w:rsidRPr="00807DAF">
        <w:t>);</w:t>
      </w:r>
      <w:proofErr w:type="gramEnd"/>
    </w:p>
    <w:p w14:paraId="17ED7FF2" w14:textId="77777777" w:rsidR="00511112" w:rsidRPr="00807DAF" w:rsidRDefault="00AC1803" w:rsidP="00F61F60">
      <w:pPr>
        <w:numPr>
          <w:ilvl w:val="0"/>
          <w:numId w:val="12"/>
        </w:numPr>
        <w:spacing w:after="120" w:line="240" w:lineRule="atLeast"/>
      </w:pPr>
      <w:r w:rsidRPr="00807DAF">
        <w:t xml:space="preserve">provisions for losses or potential future </w:t>
      </w:r>
      <w:proofErr w:type="gramStart"/>
      <w:r w:rsidRPr="00807DAF">
        <w:t>liabilities</w:t>
      </w:r>
      <w:r w:rsidR="00511112" w:rsidRPr="00807DAF">
        <w:t>;</w:t>
      </w:r>
      <w:proofErr w:type="gramEnd"/>
    </w:p>
    <w:p w14:paraId="0D522628" w14:textId="77777777" w:rsidR="00511112" w:rsidRPr="00807DAF" w:rsidRDefault="00AC1803" w:rsidP="00F61F60">
      <w:pPr>
        <w:numPr>
          <w:ilvl w:val="0"/>
          <w:numId w:val="12"/>
        </w:numPr>
        <w:spacing w:after="120" w:line="240" w:lineRule="atLeast"/>
      </w:pPr>
      <w:r w:rsidRPr="00807DAF">
        <w:lastRenderedPageBreak/>
        <w:t xml:space="preserve">costs declared by the </w:t>
      </w:r>
      <w:r w:rsidR="000D61C6">
        <w:t>b</w:t>
      </w:r>
      <w:r w:rsidR="00516FC2" w:rsidRPr="00807DAF">
        <w:t>eneficiary(</w:t>
      </w:r>
      <w:proofErr w:type="spellStart"/>
      <w:r w:rsidR="00516FC2" w:rsidRPr="00807DAF">
        <w:t>ies</w:t>
      </w:r>
      <w:proofErr w:type="spellEnd"/>
      <w:r w:rsidR="00516FC2" w:rsidRPr="00807DAF">
        <w:t xml:space="preserve">) and financed by another action or work programme receiving a </w:t>
      </w:r>
      <w:r w:rsidR="004F6678">
        <w:t xml:space="preserve">European </w:t>
      </w:r>
      <w:r w:rsidR="00516FC2" w:rsidRPr="00807DAF">
        <w:t xml:space="preserve">Union (including through EDF) </w:t>
      </w:r>
      <w:proofErr w:type="gramStart"/>
      <w:r w:rsidR="00516FC2" w:rsidRPr="00807DAF">
        <w:t>grant</w:t>
      </w:r>
      <w:r w:rsidR="00511112" w:rsidRPr="00807DAF">
        <w:t>;</w:t>
      </w:r>
      <w:proofErr w:type="gramEnd"/>
    </w:p>
    <w:p w14:paraId="238E8BB3" w14:textId="77777777" w:rsidR="00511112" w:rsidRPr="00807DAF" w:rsidRDefault="00511112" w:rsidP="00F61F60">
      <w:pPr>
        <w:numPr>
          <w:ilvl w:val="0"/>
          <w:numId w:val="12"/>
        </w:numPr>
        <w:spacing w:after="120" w:line="240" w:lineRule="atLeast"/>
      </w:pPr>
      <w:r w:rsidRPr="00807DAF">
        <w:t xml:space="preserve">purchases of land or buildings, except where necessary for the direct implementation of the action, in which case ownership must be transferred </w:t>
      </w:r>
      <w:r w:rsidR="0029143C">
        <w:t xml:space="preserve">in accordance with Article 7.5 of the </w:t>
      </w:r>
      <w:r w:rsidR="000D7ACD">
        <w:t>g</w:t>
      </w:r>
      <w:r w:rsidR="0029143C">
        <w:t xml:space="preserve">eneral </w:t>
      </w:r>
      <w:r w:rsidR="000D7ACD">
        <w:t>c</w:t>
      </w:r>
      <w:r w:rsidR="0029143C">
        <w:t>onditions of the standard grant contract</w:t>
      </w:r>
      <w:r w:rsidR="002265E1" w:rsidRPr="00807DAF">
        <w:t xml:space="preserve">, at the latest </w:t>
      </w:r>
      <w:r w:rsidR="00516FC2" w:rsidRPr="00807DAF">
        <w:t>at</w:t>
      </w:r>
      <w:r w:rsidRPr="00807DAF">
        <w:t xml:space="preserve"> the end of the </w:t>
      </w:r>
      <w:proofErr w:type="gramStart"/>
      <w:r w:rsidRPr="00807DAF">
        <w:t>action;</w:t>
      </w:r>
      <w:proofErr w:type="gramEnd"/>
    </w:p>
    <w:p w14:paraId="2E920A3A" w14:textId="77777777" w:rsidR="00511112" w:rsidRDefault="00511112" w:rsidP="00F61F60">
      <w:pPr>
        <w:numPr>
          <w:ilvl w:val="0"/>
          <w:numId w:val="12"/>
        </w:numPr>
        <w:spacing w:after="120" w:line="240" w:lineRule="atLeast"/>
      </w:pPr>
      <w:r w:rsidRPr="00807DAF">
        <w:t xml:space="preserve">currency exchange </w:t>
      </w:r>
      <w:proofErr w:type="gramStart"/>
      <w:r w:rsidRPr="00807DAF">
        <w:t>losses;</w:t>
      </w:r>
      <w:proofErr w:type="gramEnd"/>
    </w:p>
    <w:p w14:paraId="339F0F64" w14:textId="77777777" w:rsidR="00006069" w:rsidRDefault="00006069" w:rsidP="00F61F60">
      <w:pPr>
        <w:numPr>
          <w:ilvl w:val="0"/>
          <w:numId w:val="12"/>
        </w:numPr>
        <w:spacing w:after="120" w:line="240" w:lineRule="atLeast"/>
      </w:pPr>
      <w:r>
        <w:t>in kind contributions (except for volunteers' work</w:t>
      </w:r>
      <w:proofErr w:type="gramStart"/>
      <w:r>
        <w:t>);</w:t>
      </w:r>
      <w:proofErr w:type="gramEnd"/>
    </w:p>
    <w:p w14:paraId="781E2B45" w14:textId="77777777" w:rsidR="00006069" w:rsidRDefault="00006069" w:rsidP="00F61F60">
      <w:pPr>
        <w:numPr>
          <w:ilvl w:val="0"/>
          <w:numId w:val="12"/>
        </w:numPr>
        <w:spacing w:after="120" w:line="240" w:lineRule="atLeast"/>
      </w:pPr>
      <w:r>
        <w:t xml:space="preserve">bonuses included in costs of </w:t>
      </w:r>
      <w:proofErr w:type="gramStart"/>
      <w:r>
        <w:t>staff;</w:t>
      </w:r>
      <w:proofErr w:type="gramEnd"/>
      <w:r>
        <w:t xml:space="preserve"> </w:t>
      </w:r>
    </w:p>
    <w:p w14:paraId="386EDBE5" w14:textId="77777777" w:rsidR="00006069" w:rsidRPr="00807DAF" w:rsidRDefault="00006069" w:rsidP="00F61F60">
      <w:pPr>
        <w:numPr>
          <w:ilvl w:val="0"/>
          <w:numId w:val="12"/>
        </w:numPr>
        <w:spacing w:after="120" w:line="240" w:lineRule="atLeast"/>
      </w:pPr>
      <w:r>
        <w:t xml:space="preserve">negative interest charged by banks or other financial </w:t>
      </w:r>
      <w:proofErr w:type="gramStart"/>
      <w:r>
        <w:t>institutions;</w:t>
      </w:r>
      <w:proofErr w:type="gramEnd"/>
    </w:p>
    <w:p w14:paraId="0FF6B457" w14:textId="77777777" w:rsidR="0061511C" w:rsidRPr="00876E0B" w:rsidRDefault="00C9081A" w:rsidP="00F61F60">
      <w:pPr>
        <w:numPr>
          <w:ilvl w:val="0"/>
          <w:numId w:val="12"/>
        </w:numPr>
        <w:spacing w:after="120" w:line="240" w:lineRule="atLeast"/>
      </w:pPr>
      <w:r w:rsidRPr="0061511C">
        <w:t>credit to third parties</w:t>
      </w:r>
    </w:p>
    <w:p w14:paraId="06712069" w14:textId="77777777" w:rsidR="00622E2A" w:rsidRPr="00F53E16" w:rsidRDefault="00AE481D" w:rsidP="00F61F60">
      <w:pPr>
        <w:numPr>
          <w:ilvl w:val="0"/>
          <w:numId w:val="12"/>
        </w:numPr>
        <w:spacing w:after="120" w:line="240" w:lineRule="atLeast"/>
      </w:pPr>
      <w:r w:rsidRPr="0061511C">
        <w:t>s</w:t>
      </w:r>
      <w:r w:rsidR="00622E2A" w:rsidRPr="0061511C">
        <w:t xml:space="preserve">alary </w:t>
      </w:r>
      <w:r w:rsidR="00622E2A" w:rsidRPr="00807DAF">
        <w:t>costs of the personnel of national administrations</w:t>
      </w:r>
      <w:r w:rsidR="006264EC">
        <w:t>.</w:t>
      </w:r>
    </w:p>
    <w:p w14:paraId="21454E59" w14:textId="36225761" w:rsidR="00B723AF" w:rsidRPr="00807DAF" w:rsidRDefault="005E0C27" w:rsidP="00190A5D">
      <w:pPr>
        <w:pStyle w:val="Guidelines3"/>
        <w:numPr>
          <w:ilvl w:val="2"/>
          <w:numId w:val="6"/>
        </w:numPr>
      </w:pPr>
      <w:r w:rsidRPr="001B7D50">
        <w:t xml:space="preserve"> </w:t>
      </w:r>
      <w:bookmarkStart w:id="37" w:name="_Toc185257676"/>
      <w:r w:rsidR="00B723AF">
        <w:t xml:space="preserve">Ethics </w:t>
      </w:r>
      <w:r w:rsidR="005E2BB1">
        <w:t>and values</w:t>
      </w:r>
      <w:bookmarkEnd w:id="37"/>
    </w:p>
    <w:p w14:paraId="7ADB772F" w14:textId="77777777" w:rsidR="00A80223" w:rsidRPr="001B7D50" w:rsidRDefault="00A80223" w:rsidP="001B7D50">
      <w:pPr>
        <w:spacing w:after="120" w:line="240" w:lineRule="atLeast"/>
        <w:rPr>
          <w:b/>
          <w:bCs/>
        </w:rPr>
      </w:pPr>
      <w:r w:rsidRPr="001B7D50">
        <w:rPr>
          <w:b/>
          <w:bCs/>
        </w:rPr>
        <w:t>Absence of conflict of interest</w:t>
      </w:r>
    </w:p>
    <w:p w14:paraId="50783185" w14:textId="77777777" w:rsidR="00A80223" w:rsidRDefault="00A80223" w:rsidP="001B7D50">
      <w:pPr>
        <w:spacing w:after="120" w:line="240" w:lineRule="atLeast"/>
      </w:pPr>
      <w:r>
        <w:t>The applicant</w:t>
      </w:r>
      <w:r w:rsidRPr="002B370E">
        <w:t xml:space="preserve"> must not be affected by any conflict of interest and </w:t>
      </w:r>
      <w:r>
        <w:t>must</w:t>
      </w:r>
      <w:r w:rsidRPr="002B370E">
        <w:t xml:space="preserve"> have no equivalent relation in t</w:t>
      </w:r>
      <w:r>
        <w:t>hat respect with other applicants</w:t>
      </w:r>
      <w:r w:rsidRPr="002B370E">
        <w:t xml:space="preserve"> or</w:t>
      </w:r>
      <w:r>
        <w:t xml:space="preserve"> parties involved in the actions</w:t>
      </w:r>
      <w:r w:rsidRPr="002B370E">
        <w:t>.</w:t>
      </w:r>
      <w:r>
        <w:t xml:space="preserve"> </w:t>
      </w:r>
      <w:r w:rsidRPr="005C7F3E">
        <w:t xml:space="preserve">Any attempt </w:t>
      </w:r>
      <w:r>
        <w:t>by an applicant</w:t>
      </w:r>
      <w:r w:rsidRPr="005C7F3E">
        <w:t xml:space="preserve"> to obtain confidential information, enter into unlawful agreements with competitors or influence the evaluation committee or the contracting authority during the process of examining, clarifying, </w:t>
      </w:r>
      <w:r>
        <w:t>evaluating and comparing applications</w:t>
      </w:r>
      <w:r w:rsidRPr="005C7F3E">
        <w:t xml:space="preserve"> will lead to </w:t>
      </w:r>
      <w:r>
        <w:t>the rejection of its application</w:t>
      </w:r>
      <w:r w:rsidRPr="005C7F3E">
        <w:t xml:space="preserve"> and may result in </w:t>
      </w:r>
      <w:bookmarkStart w:id="38" w:name="_Hlk163806663"/>
      <w:r w:rsidR="005E2BB1">
        <w:t>exclusion decisions for other award procedures and/or financial penalties</w:t>
      </w:r>
      <w:bookmarkEnd w:id="38"/>
      <w:r>
        <w:t xml:space="preserve"> according to the Financial Regulation in force. </w:t>
      </w:r>
    </w:p>
    <w:p w14:paraId="2E10A770" w14:textId="77777777" w:rsidR="00A80223" w:rsidRPr="001B7D50" w:rsidRDefault="00A80223" w:rsidP="001B7D50">
      <w:pPr>
        <w:spacing w:after="120" w:line="240" w:lineRule="atLeast"/>
        <w:rPr>
          <w:b/>
          <w:bCs/>
        </w:rPr>
      </w:pPr>
      <w:r w:rsidRPr="001B7D50">
        <w:rPr>
          <w:b/>
          <w:bCs/>
        </w:rPr>
        <w:t xml:space="preserve">Respect for environmental legislation and core labour standards </w:t>
      </w:r>
    </w:p>
    <w:p w14:paraId="4FF451A6" w14:textId="77777777" w:rsidR="00A80223" w:rsidRDefault="005E2BB1" w:rsidP="00F36C74">
      <w:pPr>
        <w:spacing w:after="120" w:line="240" w:lineRule="atLeast"/>
      </w:pPr>
      <w:r>
        <w:t>A</w:t>
      </w:r>
      <w:r w:rsidR="00876E0B" w:rsidRPr="005C7F3E">
        <w:t xml:space="preserve">pplicants </w:t>
      </w:r>
      <w:r w:rsidR="00A80223" w:rsidRPr="005C7F3E">
        <w:t xml:space="preserve">who </w:t>
      </w:r>
      <w:r>
        <w:t>are</w:t>
      </w:r>
      <w:r w:rsidR="00A80223" w:rsidRPr="005C7F3E">
        <w:t xml:space="preserve"> awarded </w:t>
      </w:r>
      <w:r>
        <w:t>a grant</w:t>
      </w:r>
      <w:r w:rsidRPr="005C7F3E">
        <w:t xml:space="preserve"> </w:t>
      </w:r>
      <w:r w:rsidR="00A80223" w:rsidRPr="005C7F3E">
        <w:t>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6AED1E99" w14:textId="77777777" w:rsidR="005E2BB1" w:rsidRDefault="005E2BB1" w:rsidP="00F36C74">
      <w:pPr>
        <w:spacing w:after="120" w:line="240" w:lineRule="atLeast"/>
        <w:rPr>
          <w:b/>
          <w:bCs/>
        </w:rPr>
      </w:pPr>
      <w:bookmarkStart w:id="39" w:name="_Hlk163806722"/>
      <w:r>
        <w:rPr>
          <w:b/>
          <w:bCs/>
        </w:rPr>
        <w:t>Respect of EU values</w:t>
      </w:r>
    </w:p>
    <w:p w14:paraId="25BBD6DC" w14:textId="77777777" w:rsidR="005E2BB1" w:rsidRPr="005E2BB1" w:rsidRDefault="005E2BB1" w:rsidP="001B7D50">
      <w:pPr>
        <w:spacing w:after="120" w:line="240" w:lineRule="atLeast"/>
      </w:pPr>
      <w:r w:rsidRPr="001B7D50">
        <w:t>Applicants who are awarded a grant must commit to and ensure the respect of basic EU values, such as respect for human dignity, freedom, democracy, equality, the rule of law and human rights, including the rights of minorities.</w:t>
      </w:r>
    </w:p>
    <w:bookmarkEnd w:id="39"/>
    <w:p w14:paraId="322E7264" w14:textId="77777777" w:rsidR="00A80223" w:rsidRPr="00417585" w:rsidRDefault="00A80223" w:rsidP="001B7D50">
      <w:pPr>
        <w:pBdr>
          <w:top w:val="single" w:sz="4" w:space="1" w:color="auto"/>
          <w:left w:val="single" w:sz="4" w:space="4" w:color="auto"/>
          <w:bottom w:val="single" w:sz="4" w:space="1" w:color="auto"/>
          <w:right w:val="single" w:sz="4" w:space="4" w:color="auto"/>
        </w:pBdr>
        <w:spacing w:after="120" w:line="240" w:lineRule="atLeast"/>
        <w:rPr>
          <w:b/>
        </w:rPr>
      </w:pPr>
      <w:r w:rsidRPr="00417585">
        <w:rPr>
          <w:b/>
        </w:rPr>
        <w:t>Zero tolerance for sexual exploitation</w:t>
      </w:r>
      <w:r w:rsidR="000A486E">
        <w:rPr>
          <w:b/>
        </w:rPr>
        <w:t>,</w:t>
      </w:r>
      <w:r w:rsidR="000A486E" w:rsidRPr="00417585">
        <w:rPr>
          <w:b/>
        </w:rPr>
        <w:t xml:space="preserve"> abuse</w:t>
      </w:r>
      <w:r w:rsidR="00A20C55">
        <w:rPr>
          <w:b/>
        </w:rPr>
        <w:t xml:space="preserve"> and harassment</w:t>
      </w:r>
      <w:r w:rsidRPr="00417585">
        <w:rPr>
          <w:b/>
        </w:rPr>
        <w:t>:</w:t>
      </w:r>
    </w:p>
    <w:p w14:paraId="3AE73035" w14:textId="77777777" w:rsidR="00A80223" w:rsidRPr="005C7F3E" w:rsidRDefault="00A80223" w:rsidP="001B7D50">
      <w:pPr>
        <w:pBdr>
          <w:top w:val="single" w:sz="4" w:space="1" w:color="auto"/>
          <w:left w:val="single" w:sz="4" w:space="4" w:color="auto"/>
          <w:bottom w:val="single" w:sz="4" w:space="1" w:color="auto"/>
          <w:right w:val="single" w:sz="4" w:space="4" w:color="auto"/>
        </w:pBdr>
        <w:spacing w:after="120" w:line="240" w:lineRule="atLeast"/>
      </w:pPr>
      <w:r w:rsidRPr="005C7F3E">
        <w:t>The European Commission applies a policy of 'zero tolerance' in relation to all wrongful conduct which has an impact on the profession</w:t>
      </w:r>
      <w:r>
        <w:t xml:space="preserve">al credibility of the </w:t>
      </w:r>
      <w:r w:rsidR="00876E0B">
        <w:t>applicant</w:t>
      </w:r>
      <w:r w:rsidR="00876E0B" w:rsidRPr="005C7F3E">
        <w:t xml:space="preserve">. </w:t>
      </w:r>
      <w:r w:rsidRPr="005C7F3E">
        <w:t xml:space="preserve"> </w:t>
      </w:r>
    </w:p>
    <w:p w14:paraId="52313ED7" w14:textId="77777777" w:rsidR="00A80223" w:rsidRDefault="00A80223" w:rsidP="001B7D50">
      <w:pPr>
        <w:pBdr>
          <w:top w:val="single" w:sz="4" w:space="1" w:color="auto"/>
          <w:left w:val="single" w:sz="4" w:space="4" w:color="auto"/>
          <w:bottom w:val="single" w:sz="4" w:space="1" w:color="auto"/>
          <w:right w:val="single" w:sz="4" w:space="4" w:color="auto"/>
        </w:pBdr>
        <w:spacing w:after="120" w:line="240" w:lineRule="atLeast"/>
      </w:pPr>
      <w:r w:rsidRPr="005C7F3E">
        <w:t>Physical abuse or punishment, or threats of physical abuse, sexual abuse or exploitation, harassment and verbal abuse, as well as other forms of inti</w:t>
      </w:r>
      <w:r>
        <w:t xml:space="preserve">midation shall be prohibited. </w:t>
      </w:r>
    </w:p>
    <w:p w14:paraId="464492ED" w14:textId="77777777" w:rsidR="000D46D7" w:rsidRDefault="00806F79" w:rsidP="001B7D50">
      <w:pPr>
        <w:pBdr>
          <w:top w:val="single" w:sz="4" w:space="1" w:color="auto"/>
          <w:left w:val="single" w:sz="4" w:space="4" w:color="auto"/>
          <w:bottom w:val="single" w:sz="4" w:space="1" w:color="auto"/>
          <w:right w:val="single" w:sz="4" w:space="4" w:color="auto"/>
        </w:pBdr>
        <w:spacing w:after="120" w:line="240" w:lineRule="atLeast"/>
      </w:pPr>
      <w:r>
        <w:t>Successful a</w:t>
      </w:r>
      <w:r w:rsidR="000D46D7" w:rsidRPr="00BA6979">
        <w:t>pplicants</w:t>
      </w:r>
      <w:r w:rsidR="00E14E59">
        <w:t xml:space="preserve"> </w:t>
      </w:r>
      <w:r w:rsidR="00686F88">
        <w:t>(</w:t>
      </w:r>
      <w:r w:rsidR="000D46D7" w:rsidRPr="00BA6979">
        <w:t>and affiliated entities</w:t>
      </w:r>
      <w:r w:rsidR="00686F88">
        <w:t>)</w:t>
      </w:r>
      <w:r w:rsidR="000D46D7" w:rsidRPr="00BA6979">
        <w:t xml:space="preserve"> other than (</w:t>
      </w:r>
      <w:proofErr w:type="spellStart"/>
      <w:r w:rsidR="000D46D7" w:rsidRPr="00BA6979">
        <w:t>i</w:t>
      </w:r>
      <w:proofErr w:type="spellEnd"/>
      <w:r w:rsidR="000D46D7" w:rsidRPr="00BA6979">
        <w:t>) natural persons (ii) pillar-assessed entities and (iii) governments and other publi</w:t>
      </w:r>
      <w:r w:rsidR="00420D0B" w:rsidRPr="00E14E59">
        <w:t>c bodies</w:t>
      </w:r>
      <w:r w:rsidR="00420D0B">
        <w:t xml:space="preserve">, </w:t>
      </w:r>
      <w:r w:rsidR="000D46D7" w:rsidRPr="00BA6979">
        <w:t xml:space="preserve">shall assess their internal policy </w:t>
      </w:r>
      <w:r w:rsidR="00E33C5B">
        <w:t>against</w:t>
      </w:r>
      <w:r w:rsidR="000D46D7" w:rsidRPr="00BA6979">
        <w:t xml:space="preserve"> sexual exploitation, abuse and harassment (SEA-H) through a self-ev</w:t>
      </w:r>
      <w:r w:rsidR="00826F51" w:rsidRPr="00826F51">
        <w:t>aluation questionnaire</w:t>
      </w:r>
      <w:r w:rsidR="00FF4778">
        <w:t xml:space="preserve"> (Annex L)</w:t>
      </w:r>
      <w:r w:rsidR="00420D0B">
        <w:t>.</w:t>
      </w:r>
      <w:r w:rsidR="000D46D7" w:rsidRPr="00BA6979">
        <w:t xml:space="preserve"> For grants of EUR 60 000 or less no self-evaluation is required. Such self-evaluation questionnaire is not part of the evaluation of the full application by the contracting </w:t>
      </w:r>
      <w:proofErr w:type="gramStart"/>
      <w:r w:rsidR="000D46D7" w:rsidRPr="00BA6979">
        <w:t>authority, but</w:t>
      </w:r>
      <w:proofErr w:type="gramEnd"/>
      <w:r w:rsidR="000D46D7" w:rsidRPr="00BA6979">
        <w:t xml:space="preserve"> is an administrative requirement. See section </w:t>
      </w:r>
      <w:r>
        <w:t>6.2.10.</w:t>
      </w:r>
      <w:r w:rsidR="000D46D7" w:rsidRPr="00BA6979">
        <w:t xml:space="preserve"> of </w:t>
      </w:r>
      <w:proofErr w:type="gramStart"/>
      <w:r w:rsidR="000D46D7" w:rsidRPr="00BA6979">
        <w:t xml:space="preserve">the </w:t>
      </w:r>
      <w:r w:rsidR="00937483">
        <w:t xml:space="preserve"> </w:t>
      </w:r>
      <w:r w:rsidR="009556E4">
        <w:t>practical</w:t>
      </w:r>
      <w:proofErr w:type="gramEnd"/>
      <w:r w:rsidR="009556E4">
        <w:t xml:space="preserve"> guide</w:t>
      </w:r>
      <w:r w:rsidR="000D46D7" w:rsidRPr="00BA6979">
        <w:t>.</w:t>
      </w:r>
    </w:p>
    <w:p w14:paraId="4FC55940" w14:textId="77777777" w:rsidR="00A80223" w:rsidRPr="001B7D50" w:rsidRDefault="00A80223" w:rsidP="001B7D50">
      <w:pPr>
        <w:spacing w:after="120" w:line="240" w:lineRule="atLeast"/>
        <w:rPr>
          <w:b/>
          <w:bCs/>
        </w:rPr>
      </w:pPr>
      <w:r w:rsidRPr="001B7D50">
        <w:rPr>
          <w:b/>
          <w:bCs/>
        </w:rPr>
        <w:t xml:space="preserve">Anti-corruption and anti-bribery </w:t>
      </w:r>
    </w:p>
    <w:p w14:paraId="60FDCD35" w14:textId="77777777" w:rsidR="00A80223" w:rsidRDefault="00A80223" w:rsidP="001B7D50">
      <w:pPr>
        <w:spacing w:after="120" w:line="240" w:lineRule="atLeast"/>
      </w:pPr>
      <w:r>
        <w:t>The applicant</w:t>
      </w:r>
      <w:r w:rsidRPr="00417585">
        <w:t xml:space="preserve"> shall comply with all applicable laws and regulations and codes relating to anti-bribery and anti-corruption</w:t>
      </w:r>
      <w:r>
        <w:t xml:space="preserve">. </w:t>
      </w:r>
      <w:r w:rsidRPr="00417585">
        <w:t xml:space="preserve">The </w:t>
      </w:r>
      <w:r w:rsidR="00B723AF">
        <w:t>contracting authority</w:t>
      </w:r>
      <w:r w:rsidRPr="00417585">
        <w:t xml:space="preserve">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03B645BF" w14:textId="77777777" w:rsidR="00A80223" w:rsidRPr="001B7D50" w:rsidRDefault="00A80223" w:rsidP="001B7D50">
      <w:pPr>
        <w:spacing w:after="120" w:line="240" w:lineRule="atLeast"/>
        <w:rPr>
          <w:b/>
          <w:bCs/>
        </w:rPr>
      </w:pPr>
      <w:r w:rsidRPr="001B7D50">
        <w:rPr>
          <w:b/>
          <w:bCs/>
        </w:rPr>
        <w:lastRenderedPageBreak/>
        <w:t xml:space="preserve">Unusual commercial expenses </w:t>
      </w:r>
    </w:p>
    <w:p w14:paraId="029E5B8D" w14:textId="77777777" w:rsidR="00A80223" w:rsidRPr="002B370E" w:rsidRDefault="00A80223" w:rsidP="001B7D50">
      <w:pPr>
        <w:spacing w:after="120" w:line="240" w:lineRule="atLeast"/>
      </w:pPr>
      <w:r>
        <w:t>Applications</w:t>
      </w:r>
      <w:r w:rsidRPr="002B370E">
        <w:t xml:space="preserve">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102AD551" w14:textId="77777777" w:rsidR="00A80223" w:rsidRDefault="00876E0B" w:rsidP="001B7D50">
      <w:pPr>
        <w:spacing w:after="120" w:line="240" w:lineRule="atLeast"/>
      </w:pPr>
      <w:r>
        <w:t>Grant beneficiaries</w:t>
      </w:r>
      <w:r w:rsidRPr="002B370E">
        <w:t xml:space="preserve"> </w:t>
      </w:r>
      <w:r w:rsidR="00A80223" w:rsidRPr="002B370E">
        <w:t>found to have paid unusual commercial expenses on projects funded by the European Union are liable, depending on the seriousness of the facts observed, to have their contracts terminated or to be excluded from receiving EU</w:t>
      </w:r>
      <w:r>
        <w:t>/EDF</w:t>
      </w:r>
      <w:r w:rsidR="00A80223" w:rsidRPr="002B370E">
        <w:t xml:space="preserve"> funds.</w:t>
      </w:r>
    </w:p>
    <w:p w14:paraId="56463488" w14:textId="77777777" w:rsidR="00A80223" w:rsidRPr="001B7D50" w:rsidRDefault="000C3776" w:rsidP="001B7D50">
      <w:pPr>
        <w:spacing w:after="120" w:line="240" w:lineRule="atLeast"/>
        <w:rPr>
          <w:b/>
          <w:bCs/>
          <w:szCs w:val="22"/>
        </w:rPr>
      </w:pPr>
      <w:r w:rsidRPr="001B7D50">
        <w:rPr>
          <w:b/>
          <w:bCs/>
          <w:szCs w:val="22"/>
        </w:rPr>
        <w:t>Breach of obligations</w:t>
      </w:r>
      <w:r w:rsidR="00A80223" w:rsidRPr="001B7D50">
        <w:rPr>
          <w:b/>
          <w:bCs/>
          <w:szCs w:val="22"/>
        </w:rPr>
        <w:t>, irregularities or fraud</w:t>
      </w:r>
    </w:p>
    <w:p w14:paraId="5E5A2769" w14:textId="77777777" w:rsidR="00A80223" w:rsidRPr="00ED623A" w:rsidRDefault="00A80223" w:rsidP="001B7D50">
      <w:pPr>
        <w:spacing w:after="120" w:line="240" w:lineRule="atLeast"/>
        <w:rPr>
          <w:szCs w:val="22"/>
        </w:rPr>
      </w:pPr>
      <w:r w:rsidRPr="00725462">
        <w:rPr>
          <w:szCs w:val="22"/>
        </w:rPr>
        <w:t xml:space="preserve">The contracting authority reserves the right to suspend or cancel the procedure, where the award procedure proves to have been subject to substantial </w:t>
      </w:r>
      <w:r w:rsidR="000C3776">
        <w:rPr>
          <w:szCs w:val="22"/>
        </w:rPr>
        <w:t>breach of obligations</w:t>
      </w:r>
      <w:r w:rsidRPr="00725462">
        <w:rPr>
          <w:szCs w:val="22"/>
        </w:rPr>
        <w:t xml:space="preserve">, irregularities or fraud. If substantial </w:t>
      </w:r>
      <w:r w:rsidR="000C3776">
        <w:rPr>
          <w:szCs w:val="22"/>
        </w:rPr>
        <w:t>breach of obligations</w:t>
      </w:r>
      <w:r w:rsidRPr="00725462">
        <w:rPr>
          <w:szCs w:val="22"/>
        </w:rPr>
        <w:t>, irregularities or fraud are discovered after the award of the contract, the contracting authority may refrain from concluding the contract.</w:t>
      </w:r>
    </w:p>
    <w:p w14:paraId="43A6D776" w14:textId="77777777" w:rsidR="00357CC0" w:rsidRDefault="0009588C" w:rsidP="00F61F60">
      <w:pPr>
        <w:pStyle w:val="Guidelines2"/>
        <w:numPr>
          <w:ilvl w:val="1"/>
          <w:numId w:val="6"/>
        </w:numPr>
      </w:pPr>
      <w:bookmarkStart w:id="40" w:name="_Toc185257677"/>
      <w:r w:rsidRPr="00807DAF">
        <w:t>H</w:t>
      </w:r>
      <w:r w:rsidR="00357CC0" w:rsidRPr="00807DAF">
        <w:t>ow to apply and the procedures to follow</w:t>
      </w:r>
      <w:bookmarkEnd w:id="40"/>
    </w:p>
    <w:p w14:paraId="72A4AE6B" w14:textId="77777777" w:rsidR="00F657C9" w:rsidRDefault="00F657C9" w:rsidP="00F36C74">
      <w:pPr>
        <w:spacing w:after="120" w:line="240" w:lineRule="atLeast"/>
      </w:pPr>
      <w:r>
        <w:t>To apply for this call for proposals the lead applicants need to:</w:t>
      </w:r>
    </w:p>
    <w:p w14:paraId="32C435EF" w14:textId="77777777" w:rsidR="007A78B8" w:rsidRPr="001B7D50" w:rsidRDefault="00F657C9" w:rsidP="00F61F60">
      <w:pPr>
        <w:numPr>
          <w:ilvl w:val="0"/>
          <w:numId w:val="23"/>
        </w:numPr>
        <w:spacing w:after="120" w:line="240" w:lineRule="atLeast"/>
        <w:ind w:left="284" w:hanging="142"/>
        <w:rPr>
          <w:b/>
          <w:bCs/>
        </w:rPr>
      </w:pPr>
      <w:r w:rsidRPr="001B7D50">
        <w:rPr>
          <w:b/>
          <w:bCs/>
        </w:rPr>
        <w:t xml:space="preserve">Provide information about the organisations involved in the action. </w:t>
      </w:r>
    </w:p>
    <w:p w14:paraId="2C55DD6E" w14:textId="77777777" w:rsidR="007A78B8" w:rsidRDefault="007A78B8" w:rsidP="00F36C74">
      <w:pPr>
        <w:spacing w:after="120" w:line="240" w:lineRule="atLeast"/>
      </w:pPr>
      <w:r>
        <w:t>L</w:t>
      </w:r>
      <w:r w:rsidR="00FD39C8">
        <w:t>ead applicants, co-applicant</w:t>
      </w:r>
      <w:r w:rsidR="004D4EF0">
        <w:t>s and affiliated entities</w:t>
      </w:r>
      <w:r>
        <w:t xml:space="preserve">, other than natural persons, </w:t>
      </w:r>
      <w:r w:rsidR="004D4EF0">
        <w:t>must</w:t>
      </w:r>
      <w:r w:rsidR="00FD39C8">
        <w:t xml:space="preserve"> register in </w:t>
      </w:r>
      <w:proofErr w:type="spellStart"/>
      <w:r w:rsidR="00FD39C8">
        <w:t>PADOR</w:t>
      </w:r>
      <w:proofErr w:type="spellEnd"/>
      <w:r w:rsidR="008306EA">
        <w:rPr>
          <w:rStyle w:val="FootnoteReference"/>
        </w:rPr>
        <w:footnoteReference w:id="26"/>
      </w:r>
      <w:r w:rsidR="00FD39C8">
        <w:t xml:space="preserve">. </w:t>
      </w:r>
    </w:p>
    <w:p w14:paraId="751C8300" w14:textId="77777777" w:rsidR="007A78B8" w:rsidRDefault="007A78B8" w:rsidP="00F36C74">
      <w:pPr>
        <w:spacing w:after="120" w:line="240" w:lineRule="atLeast"/>
        <w:rPr>
          <w:color w:val="000000"/>
        </w:rPr>
      </w:pPr>
      <w:proofErr w:type="spellStart"/>
      <w:r w:rsidRPr="00807DAF">
        <w:rPr>
          <w:color w:val="000000"/>
        </w:rPr>
        <w:t>PADOR</w:t>
      </w:r>
      <w:proofErr w:type="spellEnd"/>
      <w:r w:rsidRPr="00807DAF">
        <w:rPr>
          <w:color w:val="000000"/>
        </w:rPr>
        <w:t xml:space="preserve"> is an on-line database in which organis</w:t>
      </w:r>
      <w:r>
        <w:rPr>
          <w:color w:val="000000"/>
        </w:rPr>
        <w:t>ations register and update</w:t>
      </w:r>
      <w:r w:rsidRPr="00807DAF">
        <w:rPr>
          <w:color w:val="000000"/>
        </w:rPr>
        <w:t xml:space="preserve"> </w:t>
      </w:r>
      <w:r>
        <w:rPr>
          <w:color w:val="000000"/>
        </w:rPr>
        <w:t xml:space="preserve">information concerning their entity. Organisations registered in </w:t>
      </w:r>
      <w:proofErr w:type="spellStart"/>
      <w:r>
        <w:rPr>
          <w:color w:val="000000"/>
        </w:rPr>
        <w:t>PADOR</w:t>
      </w:r>
      <w:proofErr w:type="spellEnd"/>
      <w:r>
        <w:rPr>
          <w:color w:val="000000"/>
        </w:rPr>
        <w:t xml:space="preserve"> get a unique ID (EuropeAid ID) which they </w:t>
      </w:r>
      <w:r w:rsidRPr="001606C0">
        <w:rPr>
          <w:b/>
          <w:color w:val="000000"/>
        </w:rPr>
        <w:t>must mention</w:t>
      </w:r>
      <w:r>
        <w:rPr>
          <w:color w:val="000000"/>
        </w:rPr>
        <w:t xml:space="preserve"> in their application. </w:t>
      </w:r>
    </w:p>
    <w:p w14:paraId="61DA801F" w14:textId="77777777" w:rsidR="007A78B8" w:rsidRDefault="007A78B8" w:rsidP="00F36C74">
      <w:pPr>
        <w:spacing w:after="120" w:line="240" w:lineRule="atLeast"/>
        <w:rPr>
          <w:color w:val="000000"/>
        </w:rPr>
      </w:pPr>
      <w:proofErr w:type="spellStart"/>
      <w:r>
        <w:rPr>
          <w:color w:val="000000"/>
        </w:rPr>
        <w:t>PADOR</w:t>
      </w:r>
      <w:proofErr w:type="spellEnd"/>
      <w:r>
        <w:rPr>
          <w:color w:val="000000"/>
        </w:rPr>
        <w:t xml:space="preserve"> is accessible</w:t>
      </w:r>
      <w:r w:rsidRPr="00807DAF">
        <w:rPr>
          <w:color w:val="000000"/>
        </w:rPr>
        <w:t xml:space="preserve"> </w:t>
      </w:r>
      <w:r>
        <w:rPr>
          <w:color w:val="000000"/>
        </w:rPr>
        <w:t>via</w:t>
      </w:r>
      <w:r w:rsidRPr="00807DAF">
        <w:rPr>
          <w:color w:val="000000"/>
        </w:rPr>
        <w:t xml:space="preserve"> the website:</w:t>
      </w:r>
      <w:r>
        <w:rPr>
          <w:color w:val="000000"/>
        </w:rPr>
        <w:t xml:space="preserve"> </w:t>
      </w:r>
      <w:hyperlink r:id="rId17" w:history="1">
        <w:r w:rsidRPr="000408E7">
          <w:rPr>
            <w:rStyle w:val="Hyperlink"/>
          </w:rPr>
          <w:t>https://webgate.ec.europa.eu/pador</w:t>
        </w:r>
      </w:hyperlink>
      <w:r>
        <w:rPr>
          <w:color w:val="000000"/>
        </w:rPr>
        <w:t xml:space="preserve">  </w:t>
      </w:r>
    </w:p>
    <w:p w14:paraId="16721F79" w14:textId="77777777" w:rsidR="00D00ABA" w:rsidRDefault="004D4EF0" w:rsidP="00F36C74">
      <w:pPr>
        <w:spacing w:after="120" w:line="240" w:lineRule="atLeast"/>
      </w:pPr>
      <w:bookmarkStart w:id="41" w:name="_Hlk163807081"/>
      <w:r>
        <w:t>L</w:t>
      </w:r>
      <w:r w:rsidR="00643B20">
        <w:t xml:space="preserve">ead applicants </w:t>
      </w:r>
      <w:r w:rsidR="00FD39C8">
        <w:t xml:space="preserve">must register at the concept note step. </w:t>
      </w:r>
      <w:r w:rsidR="00643B20">
        <w:t xml:space="preserve">Co-applicants and affiliated entities must register at the full application step; lead applicants must make sure that their </w:t>
      </w:r>
      <w:proofErr w:type="spellStart"/>
      <w:r w:rsidR="00643B20">
        <w:t>PADOR</w:t>
      </w:r>
      <w:proofErr w:type="spellEnd"/>
      <w:r w:rsidR="00643B20">
        <w:t xml:space="preserve"> profile is up to date</w:t>
      </w:r>
      <w:r w:rsidR="00FD39C8">
        <w:t>.</w:t>
      </w:r>
      <w:r w:rsidR="00FD39C8" w:rsidDel="00FD39C8">
        <w:t xml:space="preserve"> </w:t>
      </w:r>
    </w:p>
    <w:p w14:paraId="332E2240" w14:textId="77777777" w:rsidR="005354AC" w:rsidRDefault="00F657C9" w:rsidP="00F36C74">
      <w:pPr>
        <w:spacing w:after="120" w:line="240" w:lineRule="atLeast"/>
        <w:rPr>
          <w:color w:val="000000"/>
          <w:lang w:eastAsia="en-GB"/>
        </w:rPr>
      </w:pPr>
      <w:r>
        <w:t>Please note that the r</w:t>
      </w:r>
      <w:r w:rsidRPr="00807DAF">
        <w:t>egistration</w:t>
      </w:r>
      <w:r>
        <w:t xml:space="preserve"> of this data in </w:t>
      </w:r>
      <w:proofErr w:type="spellStart"/>
      <w:r w:rsidRPr="00743599">
        <w:rPr>
          <w:b/>
        </w:rPr>
        <w:t>PADOR</w:t>
      </w:r>
      <w:proofErr w:type="spellEnd"/>
      <w:r w:rsidRPr="00743599">
        <w:rPr>
          <w:b/>
        </w:rPr>
        <w:t xml:space="preserve"> is obligatory</w:t>
      </w:r>
      <w:r w:rsidRPr="00807DAF">
        <w:t xml:space="preserve"> for this </w:t>
      </w:r>
      <w:r>
        <w:t>c</w:t>
      </w:r>
      <w:r w:rsidRPr="00807DAF">
        <w:t xml:space="preserve">all for </w:t>
      </w:r>
      <w:r>
        <w:t>p</w:t>
      </w:r>
      <w:r w:rsidRPr="00807DAF">
        <w:t>roposals</w:t>
      </w:r>
      <w:r w:rsidR="00D00ABA">
        <w:t>.</w:t>
      </w:r>
      <w:bookmarkEnd w:id="41"/>
      <w:r w:rsidR="00D00ABA">
        <w:t xml:space="preserve"> </w:t>
      </w:r>
      <w:bookmarkStart w:id="42" w:name="_Hlk164272705"/>
      <w:r w:rsidR="00B516DD">
        <w:rPr>
          <w:color w:val="000000"/>
        </w:rPr>
        <w:t>I</w:t>
      </w:r>
      <w:r w:rsidR="00B516DD" w:rsidRPr="00807DAF">
        <w:rPr>
          <w:color w:val="000000"/>
        </w:rPr>
        <w:t xml:space="preserve">f it is impossible to register </w:t>
      </w:r>
      <w:r w:rsidR="00B516DD">
        <w:rPr>
          <w:color w:val="000000"/>
        </w:rPr>
        <w:t xml:space="preserve">online </w:t>
      </w:r>
      <w:r w:rsidR="00B516DD" w:rsidRPr="00807DAF">
        <w:rPr>
          <w:color w:val="000000"/>
        </w:rPr>
        <w:t xml:space="preserve">in </w:t>
      </w:r>
      <w:proofErr w:type="spellStart"/>
      <w:r w:rsidR="00B516DD" w:rsidRPr="00807DAF">
        <w:rPr>
          <w:color w:val="000000"/>
        </w:rPr>
        <w:t>PADOR</w:t>
      </w:r>
      <w:proofErr w:type="spellEnd"/>
      <w:r w:rsidR="00B516DD">
        <w:rPr>
          <w:color w:val="000000"/>
        </w:rPr>
        <w:t xml:space="preserve"> for technical reasons</w:t>
      </w:r>
      <w:r w:rsidR="004258BC">
        <w:rPr>
          <w:color w:val="000000"/>
        </w:rPr>
        <w:t xml:space="preserve"> or for </w:t>
      </w:r>
      <w:r w:rsidR="004258BC" w:rsidRPr="004258BC">
        <w:rPr>
          <w:color w:val="000000"/>
          <w:lang w:eastAsia="en-GB"/>
        </w:rPr>
        <w:t>security and confidentiality concerns</w:t>
      </w:r>
      <w:r w:rsidR="00B516DD" w:rsidRPr="00807DAF">
        <w:rPr>
          <w:color w:val="000000"/>
        </w:rPr>
        <w:t xml:space="preserve">, </w:t>
      </w:r>
      <w:bookmarkEnd w:id="42"/>
      <w:r w:rsidR="00D50A77">
        <w:rPr>
          <w:color w:val="000000"/>
          <w:lang w:eastAsia="en-GB"/>
        </w:rPr>
        <w:t>lead applicants, co-</w:t>
      </w:r>
      <w:r w:rsidR="00B516DD" w:rsidRPr="00807DAF">
        <w:rPr>
          <w:color w:val="000000"/>
          <w:lang w:eastAsia="en-GB"/>
        </w:rPr>
        <w:t>applicants and/or affiliated entity(</w:t>
      </w:r>
      <w:proofErr w:type="spellStart"/>
      <w:r w:rsidR="00B516DD" w:rsidRPr="00807DAF">
        <w:rPr>
          <w:color w:val="000000"/>
          <w:lang w:eastAsia="en-GB"/>
        </w:rPr>
        <w:t>ies</w:t>
      </w:r>
      <w:proofErr w:type="spellEnd"/>
      <w:r w:rsidR="00B516DD" w:rsidRPr="00807DAF">
        <w:rPr>
          <w:color w:val="000000"/>
          <w:lang w:eastAsia="en-GB"/>
        </w:rPr>
        <w:t>) must complete the ‘</w:t>
      </w:r>
      <w:proofErr w:type="spellStart"/>
      <w:r w:rsidR="00B516DD" w:rsidRPr="00807DAF">
        <w:rPr>
          <w:color w:val="000000"/>
          <w:lang w:eastAsia="en-GB"/>
        </w:rPr>
        <w:t>PADOR</w:t>
      </w:r>
      <w:proofErr w:type="spellEnd"/>
      <w:r w:rsidR="00B516DD" w:rsidRPr="00807DAF">
        <w:rPr>
          <w:color w:val="000000"/>
          <w:lang w:eastAsia="en-GB"/>
        </w:rPr>
        <w:t xml:space="preserve"> </w:t>
      </w:r>
      <w:r w:rsidR="002421FF">
        <w:rPr>
          <w:color w:val="000000"/>
          <w:lang w:eastAsia="en-GB"/>
        </w:rPr>
        <w:t>registration</w:t>
      </w:r>
      <w:r w:rsidR="00B516DD" w:rsidRPr="00807DAF">
        <w:rPr>
          <w:color w:val="000000"/>
          <w:lang w:eastAsia="en-GB"/>
        </w:rPr>
        <w:t xml:space="preserve"> form</w:t>
      </w:r>
      <w:r w:rsidR="00B516DD" w:rsidRPr="00807DAF">
        <w:rPr>
          <w:rStyle w:val="FootnoteReference"/>
        </w:rPr>
        <w:footnoteReference w:id="27"/>
      </w:r>
      <w:r w:rsidR="00B516DD" w:rsidRPr="00807DAF">
        <w:rPr>
          <w:color w:val="000000"/>
          <w:lang w:eastAsia="en-GB"/>
        </w:rPr>
        <w:t xml:space="preserve"> attached to these </w:t>
      </w:r>
      <w:r w:rsidR="00B516DD">
        <w:rPr>
          <w:color w:val="000000"/>
          <w:lang w:eastAsia="en-GB"/>
        </w:rPr>
        <w:t>g</w:t>
      </w:r>
      <w:r w:rsidR="00B516DD" w:rsidRPr="00807DAF">
        <w:rPr>
          <w:color w:val="000000"/>
          <w:lang w:eastAsia="en-GB"/>
        </w:rPr>
        <w:t>uidelines</w:t>
      </w:r>
      <w:r w:rsidR="00B516DD">
        <w:rPr>
          <w:color w:val="000000"/>
          <w:lang w:eastAsia="en-GB"/>
        </w:rPr>
        <w:t>. This form</w:t>
      </w:r>
      <w:r w:rsidR="00B516DD" w:rsidRPr="00807DAF">
        <w:rPr>
          <w:color w:val="000000"/>
          <w:lang w:eastAsia="en-GB"/>
        </w:rPr>
        <w:t xml:space="preserve"> </w:t>
      </w:r>
      <w:r w:rsidR="00B516DD">
        <w:rPr>
          <w:color w:val="000000"/>
          <w:lang w:eastAsia="en-GB"/>
        </w:rPr>
        <w:t xml:space="preserve">must be </w:t>
      </w:r>
      <w:r w:rsidR="00B516DD" w:rsidRPr="00807DAF">
        <w:rPr>
          <w:color w:val="000000"/>
          <w:lang w:eastAsia="en-GB"/>
        </w:rPr>
        <w:t>sen</w:t>
      </w:r>
      <w:r w:rsidR="00B516DD">
        <w:rPr>
          <w:color w:val="000000"/>
          <w:lang w:eastAsia="en-GB"/>
        </w:rPr>
        <w:t>t</w:t>
      </w:r>
      <w:r w:rsidR="00B516DD" w:rsidRPr="00807DAF">
        <w:rPr>
          <w:color w:val="000000"/>
          <w:lang w:eastAsia="en-GB"/>
        </w:rPr>
        <w:t xml:space="preserve"> </w:t>
      </w:r>
      <w:r w:rsidR="00B516DD" w:rsidRPr="007904B1">
        <w:rPr>
          <w:b/>
          <w:color w:val="000000"/>
          <w:u w:val="single"/>
          <w:lang w:eastAsia="en-GB"/>
        </w:rPr>
        <w:t xml:space="preserve">together with the </w:t>
      </w:r>
      <w:r w:rsidR="00FE6094">
        <w:rPr>
          <w:b/>
          <w:color w:val="000000"/>
          <w:u w:val="single"/>
          <w:lang w:eastAsia="en-GB"/>
        </w:rPr>
        <w:t xml:space="preserve">full </w:t>
      </w:r>
      <w:r w:rsidR="00B516DD" w:rsidRPr="007904B1">
        <w:rPr>
          <w:b/>
          <w:color w:val="000000"/>
          <w:u w:val="single"/>
          <w:lang w:eastAsia="en-GB"/>
        </w:rPr>
        <w:t>application</w:t>
      </w:r>
      <w:r w:rsidR="00B516DD">
        <w:rPr>
          <w:b/>
          <w:color w:val="000000"/>
          <w:u w:val="single"/>
          <w:lang w:eastAsia="en-GB"/>
        </w:rPr>
        <w:t xml:space="preserve">, </w:t>
      </w:r>
      <w:r w:rsidR="00B516DD" w:rsidRPr="00807DAF">
        <w:rPr>
          <w:color w:val="000000"/>
          <w:lang w:eastAsia="en-GB"/>
        </w:rPr>
        <w:t>by the submission deadline</w:t>
      </w:r>
      <w:r w:rsidR="00B516DD">
        <w:rPr>
          <w:color w:val="000000"/>
          <w:lang w:eastAsia="en-GB"/>
        </w:rPr>
        <w:t xml:space="preserve"> (see </w:t>
      </w:r>
      <w:r w:rsidR="00D00ABA">
        <w:rPr>
          <w:color w:val="000000"/>
          <w:lang w:eastAsia="en-GB"/>
        </w:rPr>
        <w:t xml:space="preserve">Section </w:t>
      </w:r>
      <w:r w:rsidR="00B516DD">
        <w:rPr>
          <w:color w:val="000000"/>
          <w:lang w:eastAsia="en-GB"/>
        </w:rPr>
        <w:t xml:space="preserve">2.2.5). </w:t>
      </w:r>
    </w:p>
    <w:p w14:paraId="0BE4BB0F" w14:textId="77777777" w:rsidR="00D00ABA" w:rsidRDefault="005354AC" w:rsidP="00F36C74">
      <w:pPr>
        <w:spacing w:after="120" w:line="240" w:lineRule="atLeast"/>
        <w:rPr>
          <w:iCs/>
          <w:snapToGrid w:val="0"/>
          <w:lang w:val="en-IE"/>
        </w:rPr>
      </w:pPr>
      <w:r w:rsidRPr="001937BC">
        <w:rPr>
          <w:iCs/>
          <w:snapToGrid w:val="0"/>
          <w:lang w:val="en-IE"/>
        </w:rPr>
        <w:t>The European Commission external action DGs (DG INTPA, DG NEAR, FPI)</w:t>
      </w:r>
      <w:r w:rsidR="00D00ABA">
        <w:rPr>
          <w:iCs/>
          <w:snapToGrid w:val="0"/>
          <w:lang w:val="en-IE"/>
        </w:rPr>
        <w:t xml:space="preserve"> </w:t>
      </w:r>
      <w:r w:rsidRPr="001937BC">
        <w:rPr>
          <w:iCs/>
          <w:snapToGrid w:val="0"/>
          <w:lang w:val="en-IE"/>
        </w:rPr>
        <w:t xml:space="preserve">are migrating the management of their </w:t>
      </w:r>
      <w:r>
        <w:rPr>
          <w:iCs/>
          <w:snapToGrid w:val="0"/>
          <w:lang w:val="en-IE"/>
        </w:rPr>
        <w:t xml:space="preserve">calls and </w:t>
      </w:r>
      <w:r w:rsidRPr="001937BC">
        <w:rPr>
          <w:iCs/>
          <w:snapToGrid w:val="0"/>
          <w:lang w:val="en-IE"/>
        </w:rPr>
        <w:t xml:space="preserve">contracts to an online portal based on a register of organisations participating in EU calls for proposals. This online register will apply the "once only" principle: data related to an organisation needs to be submitted only once. </w:t>
      </w:r>
      <w:r w:rsidR="00BD0B78">
        <w:rPr>
          <w:iCs/>
          <w:snapToGrid w:val="0"/>
          <w:lang w:val="en-IE"/>
        </w:rPr>
        <w:t>T</w:t>
      </w:r>
      <w:r w:rsidRPr="001937BC">
        <w:rPr>
          <w:iCs/>
          <w:snapToGrid w:val="0"/>
          <w:lang w:val="en-IE"/>
        </w:rPr>
        <w:t xml:space="preserve">his portal will be used as a communication platform for the management of </w:t>
      </w:r>
      <w:r>
        <w:rPr>
          <w:iCs/>
          <w:snapToGrid w:val="0"/>
          <w:lang w:val="en-IE"/>
        </w:rPr>
        <w:t xml:space="preserve">the </w:t>
      </w:r>
      <w:r w:rsidRPr="001937BC">
        <w:rPr>
          <w:iCs/>
          <w:snapToGrid w:val="0"/>
          <w:lang w:val="en-IE"/>
        </w:rPr>
        <w:t>con</w:t>
      </w:r>
      <w:r w:rsidR="00BD0B78">
        <w:rPr>
          <w:iCs/>
          <w:snapToGrid w:val="0"/>
          <w:lang w:val="en-IE"/>
        </w:rPr>
        <w:t xml:space="preserve">tract(s). </w:t>
      </w:r>
      <w:r w:rsidRPr="001937BC">
        <w:rPr>
          <w:iCs/>
          <w:snapToGrid w:val="0"/>
          <w:lang w:val="en-IE"/>
        </w:rPr>
        <w:t xml:space="preserve">Since you are in the process of </w:t>
      </w:r>
      <w:r>
        <w:rPr>
          <w:iCs/>
          <w:snapToGrid w:val="0"/>
          <w:lang w:val="en-IE"/>
        </w:rPr>
        <w:t xml:space="preserve">applying for a call for proposals </w:t>
      </w:r>
      <w:r w:rsidRPr="001937BC">
        <w:rPr>
          <w:iCs/>
          <w:snapToGrid w:val="0"/>
          <w:lang w:val="en-IE"/>
        </w:rPr>
        <w:t xml:space="preserve">financed by DG INTPA, DG NEAR or FPI, it is </w:t>
      </w:r>
      <w:r w:rsidR="00BD0B78">
        <w:rPr>
          <w:iCs/>
          <w:snapToGrid w:val="0"/>
          <w:lang w:val="en-IE"/>
        </w:rPr>
        <w:t xml:space="preserve">mandatory </w:t>
      </w:r>
      <w:r w:rsidRPr="001937BC">
        <w:rPr>
          <w:iCs/>
          <w:snapToGrid w:val="0"/>
          <w:lang w:val="en-IE"/>
        </w:rPr>
        <w:t xml:space="preserve">to register now in the </w:t>
      </w:r>
      <w:r w:rsidR="00D00ABA">
        <w:rPr>
          <w:iCs/>
          <w:snapToGrid w:val="0"/>
          <w:lang w:val="en-IE"/>
        </w:rPr>
        <w:t xml:space="preserve">European </w:t>
      </w:r>
      <w:r w:rsidRPr="001937BC">
        <w:rPr>
          <w:iCs/>
          <w:snapToGrid w:val="0"/>
          <w:lang w:val="en-IE"/>
        </w:rPr>
        <w:t xml:space="preserve">Commission’s Participant </w:t>
      </w:r>
      <w:r w:rsidR="00D00ABA">
        <w:rPr>
          <w:iCs/>
          <w:snapToGrid w:val="0"/>
          <w:lang w:val="en-IE"/>
        </w:rPr>
        <w:t>R</w:t>
      </w:r>
      <w:r w:rsidRPr="001937BC">
        <w:rPr>
          <w:iCs/>
          <w:snapToGrid w:val="0"/>
          <w:lang w:val="en-IE"/>
        </w:rPr>
        <w:t xml:space="preserve">egister. </w:t>
      </w:r>
    </w:p>
    <w:p w14:paraId="60E8DEB4" w14:textId="77777777" w:rsidR="005354AC" w:rsidRDefault="005354AC" w:rsidP="00F36C74">
      <w:pPr>
        <w:spacing w:after="120" w:line="240" w:lineRule="atLeast"/>
        <w:rPr>
          <w:iCs/>
          <w:snapToGrid w:val="0"/>
          <w:lang w:val="en-IE"/>
        </w:rPr>
      </w:pPr>
      <w:r w:rsidRPr="001937BC">
        <w:rPr>
          <w:iCs/>
          <w:snapToGrid w:val="0"/>
          <w:lang w:val="en-IE"/>
        </w:rPr>
        <w:t xml:space="preserve">This Participant Register will act as an entry point to the </w:t>
      </w:r>
      <w:r>
        <w:rPr>
          <w:iCs/>
          <w:snapToGrid w:val="0"/>
          <w:lang w:val="en-IE"/>
        </w:rPr>
        <w:t xml:space="preserve">future call and </w:t>
      </w:r>
      <w:r w:rsidRPr="001937BC">
        <w:rPr>
          <w:iCs/>
          <w:snapToGrid w:val="0"/>
          <w:lang w:val="en-IE"/>
        </w:rPr>
        <w:t xml:space="preserve">contract management portal. By registering you will obtain a Participant Identification Code (PIC, 9-digit number) which will act as your unique identifier. Registration is free of charge. Not registering your organisation might create technical difficulties with the </w:t>
      </w:r>
      <w:r>
        <w:rPr>
          <w:iCs/>
          <w:snapToGrid w:val="0"/>
          <w:lang w:val="en-IE"/>
        </w:rPr>
        <w:t xml:space="preserve">future data </w:t>
      </w:r>
      <w:r w:rsidRPr="001937BC">
        <w:rPr>
          <w:iCs/>
          <w:snapToGrid w:val="0"/>
          <w:lang w:val="en-IE"/>
        </w:rPr>
        <w:t xml:space="preserve">migration. </w:t>
      </w:r>
    </w:p>
    <w:p w14:paraId="60B47854" w14:textId="77777777" w:rsidR="005354AC" w:rsidRPr="001B7D50" w:rsidRDefault="00D00ABA" w:rsidP="00F36C74">
      <w:pPr>
        <w:spacing w:after="120" w:line="240" w:lineRule="atLeast"/>
        <w:rPr>
          <w:i/>
          <w:iCs/>
          <w:snapToGrid w:val="0"/>
          <w:lang w:val="en-IE"/>
        </w:rPr>
      </w:pPr>
      <w:r>
        <w:rPr>
          <w:iCs/>
          <w:snapToGrid w:val="0"/>
          <w:lang w:val="en-IE"/>
        </w:rPr>
        <w:t xml:space="preserve">To apply for this call for proposal, it is </w:t>
      </w:r>
      <w:r w:rsidR="00BD0B78">
        <w:rPr>
          <w:iCs/>
          <w:snapToGrid w:val="0"/>
          <w:lang w:val="en-IE"/>
        </w:rPr>
        <w:t>mandatory</w:t>
      </w:r>
      <w:r>
        <w:rPr>
          <w:iCs/>
          <w:snapToGrid w:val="0"/>
          <w:lang w:val="en-IE"/>
        </w:rPr>
        <w:t xml:space="preserve"> for the lead and co-applicants to register in the </w:t>
      </w:r>
      <w:hyperlink r:id="rId18" w:history="1">
        <w:r w:rsidRPr="00B25846">
          <w:rPr>
            <w:rStyle w:val="Hyperlink"/>
            <w:b/>
            <w:bCs/>
            <w:iCs/>
            <w:snapToGrid w:val="0"/>
            <w:lang w:val="en-IE"/>
          </w:rPr>
          <w:t>Participant Register</w:t>
        </w:r>
      </w:hyperlink>
      <w:r>
        <w:rPr>
          <w:iCs/>
          <w:snapToGrid w:val="0"/>
          <w:lang w:val="en-IE"/>
        </w:rPr>
        <w:t xml:space="preserve">. </w:t>
      </w:r>
      <w:r w:rsidR="005354AC" w:rsidRPr="001937BC">
        <w:rPr>
          <w:iCs/>
          <w:snapToGrid w:val="0"/>
          <w:lang w:val="en-IE"/>
        </w:rPr>
        <w:t>In order to register your organisation, please follow this link:</w:t>
      </w:r>
      <w:r w:rsidR="005354AC" w:rsidRPr="001937BC">
        <w:rPr>
          <w:i/>
          <w:iCs/>
          <w:snapToGrid w:val="0"/>
          <w:lang w:val="en-IE"/>
        </w:rPr>
        <w:t xml:space="preserve"> </w:t>
      </w:r>
      <w:hyperlink r:id="rId19" w:history="1">
        <w:r w:rsidR="005354AC" w:rsidRPr="001937BC">
          <w:rPr>
            <w:rStyle w:val="Hyperlink"/>
            <w:i/>
            <w:iCs/>
            <w:snapToGrid w:val="0"/>
            <w:lang w:val="en-IE"/>
          </w:rPr>
          <w:t>https://ec.europa.eu/info/funding-tenders/opportunities/portal/screen/how-to-participate/participant-register</w:t>
        </w:r>
      </w:hyperlink>
      <w:r w:rsidR="005354AC" w:rsidRPr="001937BC">
        <w:rPr>
          <w:i/>
          <w:iCs/>
          <w:snapToGrid w:val="0"/>
          <w:lang w:val="en-IE"/>
        </w:rPr>
        <w:t xml:space="preserve">. </w:t>
      </w:r>
    </w:p>
    <w:p w14:paraId="06791FA9" w14:textId="77777777" w:rsidR="007A78B8" w:rsidRPr="001B7D50" w:rsidRDefault="00F657C9" w:rsidP="00F61F60">
      <w:pPr>
        <w:numPr>
          <w:ilvl w:val="0"/>
          <w:numId w:val="23"/>
        </w:numPr>
        <w:spacing w:after="120" w:line="240" w:lineRule="atLeast"/>
        <w:ind w:left="284" w:hanging="142"/>
        <w:rPr>
          <w:b/>
          <w:bCs/>
        </w:rPr>
      </w:pPr>
      <w:r w:rsidRPr="001B7D50">
        <w:rPr>
          <w:b/>
          <w:bCs/>
        </w:rPr>
        <w:t>Provide information about the action in the documents listed under sections 2.2.2 (</w:t>
      </w:r>
      <w:r w:rsidR="008E2371" w:rsidRPr="001B7D50">
        <w:rPr>
          <w:b/>
          <w:bCs/>
        </w:rPr>
        <w:t xml:space="preserve">Where and how to send </w:t>
      </w:r>
      <w:r w:rsidRPr="001B7D50">
        <w:rPr>
          <w:b/>
          <w:bCs/>
        </w:rPr>
        <w:t>concept note</w:t>
      </w:r>
      <w:r w:rsidR="008E2371" w:rsidRPr="001B7D50">
        <w:rPr>
          <w:b/>
          <w:bCs/>
        </w:rPr>
        <w:t>s</w:t>
      </w:r>
      <w:r w:rsidRPr="001B7D50">
        <w:rPr>
          <w:b/>
          <w:bCs/>
        </w:rPr>
        <w:t>) and 2.2.5 (</w:t>
      </w:r>
      <w:r w:rsidR="008E2371" w:rsidRPr="001B7D50">
        <w:rPr>
          <w:b/>
          <w:bCs/>
        </w:rPr>
        <w:t>F</w:t>
      </w:r>
      <w:r w:rsidRPr="001B7D50">
        <w:rPr>
          <w:b/>
          <w:bCs/>
        </w:rPr>
        <w:t>ull application</w:t>
      </w:r>
      <w:r w:rsidR="008E2371" w:rsidRPr="001B7D50">
        <w:rPr>
          <w:b/>
          <w:bCs/>
        </w:rPr>
        <w:t>s</w:t>
      </w:r>
      <w:r w:rsidRPr="001B7D50">
        <w:rPr>
          <w:b/>
          <w:bCs/>
        </w:rPr>
        <w:t xml:space="preserve">). </w:t>
      </w:r>
    </w:p>
    <w:p w14:paraId="6FC05482" w14:textId="77777777" w:rsidR="00D00ABA" w:rsidRDefault="00F657C9" w:rsidP="00F36C74">
      <w:pPr>
        <w:spacing w:after="120" w:line="240" w:lineRule="atLeast"/>
        <w:rPr>
          <w:b/>
        </w:rPr>
      </w:pPr>
      <w:r>
        <w:lastRenderedPageBreak/>
        <w:t xml:space="preserve">Please note that online submission via </w:t>
      </w:r>
      <w:r w:rsidRPr="00743599">
        <w:rPr>
          <w:b/>
        </w:rPr>
        <w:t>PROSPECT is obligatory</w:t>
      </w:r>
      <w:r>
        <w:t xml:space="preserve"> for this call</w:t>
      </w:r>
      <w:r w:rsidR="00AD295A">
        <w:t>.</w:t>
      </w:r>
    </w:p>
    <w:p w14:paraId="4076EF52" w14:textId="77777777" w:rsidR="00F657C9" w:rsidRPr="00807DAF" w:rsidRDefault="00F657C9" w:rsidP="00F36C74">
      <w:pPr>
        <w:pBdr>
          <w:top w:val="single" w:sz="4" w:space="1" w:color="auto"/>
          <w:left w:val="single" w:sz="4" w:space="4" w:color="auto"/>
          <w:bottom w:val="single" w:sz="4" w:space="1" w:color="auto"/>
          <w:right w:val="single" w:sz="4" w:space="4" w:color="auto"/>
        </w:pBdr>
        <w:spacing w:after="120" w:line="240" w:lineRule="atLeast"/>
      </w:pPr>
      <w:r w:rsidRPr="00A73F08">
        <w:rPr>
          <w:b/>
        </w:rPr>
        <w:t xml:space="preserve">It is strongly recommended to register in </w:t>
      </w:r>
      <w:proofErr w:type="spellStart"/>
      <w:r w:rsidRPr="00A73F08">
        <w:rPr>
          <w:b/>
        </w:rPr>
        <w:t>PADOR</w:t>
      </w:r>
      <w:proofErr w:type="spellEnd"/>
      <w:r w:rsidRPr="00A73F08">
        <w:rPr>
          <w:b/>
        </w:rPr>
        <w:t xml:space="preserve"> </w:t>
      </w:r>
      <w:r>
        <w:rPr>
          <w:b/>
        </w:rPr>
        <w:t xml:space="preserve">well in advance </w:t>
      </w:r>
      <w:r w:rsidRPr="00A73F08">
        <w:rPr>
          <w:b/>
        </w:rPr>
        <w:t xml:space="preserve">and not to wait until </w:t>
      </w:r>
      <w:r>
        <w:rPr>
          <w:b/>
        </w:rPr>
        <w:t xml:space="preserve">the last minute </w:t>
      </w:r>
      <w:r w:rsidRPr="00A73F08">
        <w:rPr>
          <w:b/>
        </w:rPr>
        <w:t xml:space="preserve">before the </w:t>
      </w:r>
      <w:r>
        <w:rPr>
          <w:b/>
        </w:rPr>
        <w:t>deadline</w:t>
      </w:r>
      <w:r>
        <w:t xml:space="preserve"> </w:t>
      </w:r>
      <w:r>
        <w:rPr>
          <w:b/>
        </w:rPr>
        <w:t xml:space="preserve">to submit your application in PROSPECT. </w:t>
      </w:r>
    </w:p>
    <w:p w14:paraId="2DC7EC70" w14:textId="77777777" w:rsidR="00F657C9" w:rsidRDefault="00F657C9" w:rsidP="00F36C74">
      <w:pPr>
        <w:pBdr>
          <w:top w:val="single" w:sz="4" w:space="1" w:color="auto"/>
          <w:left w:val="single" w:sz="4" w:space="4" w:color="auto"/>
          <w:bottom w:val="single" w:sz="4" w:space="1" w:color="auto"/>
          <w:right w:val="single" w:sz="4" w:space="4" w:color="auto"/>
        </w:pBdr>
        <w:spacing w:after="120" w:line="240" w:lineRule="atLeast"/>
        <w:rPr>
          <w:b/>
        </w:rPr>
      </w:pPr>
      <w:r w:rsidRPr="00807DAF">
        <w:t xml:space="preserve">Before starting </w:t>
      </w:r>
      <w:r>
        <w:t>using</w:t>
      </w:r>
      <w:r w:rsidRPr="00807DAF">
        <w:t xml:space="preserve"> </w:t>
      </w:r>
      <w:proofErr w:type="spellStart"/>
      <w:r w:rsidRPr="00807DAF">
        <w:t>PADOR</w:t>
      </w:r>
      <w:proofErr w:type="spellEnd"/>
      <w:r>
        <w:t xml:space="preserve"> and PROSPECT</w:t>
      </w:r>
      <w:r w:rsidRPr="00807DAF">
        <w:t xml:space="preserve">, please read the </w:t>
      </w:r>
      <w:r>
        <w:t>user guides available</w:t>
      </w:r>
      <w:r w:rsidRPr="00807DAF">
        <w:t xml:space="preserve"> on the website. </w:t>
      </w:r>
      <w:r>
        <w:rPr>
          <w:lang w:eastAsia="en-GB"/>
        </w:rPr>
        <w:t>All technical questions related the use of these systems should be addressed to the IT helpdesk at</w:t>
      </w:r>
      <w:r w:rsidR="005E4863">
        <w:rPr>
          <w:lang w:eastAsia="en-GB"/>
        </w:rPr>
        <w:t xml:space="preserve"> </w:t>
      </w:r>
      <w:hyperlink r:id="rId20" w:history="1">
        <w:r w:rsidR="005E4863" w:rsidRPr="005E4863">
          <w:rPr>
            <w:rStyle w:val="Hyperlink"/>
            <w:lang w:val="en-IE"/>
          </w:rPr>
          <w:t>ec-external-relations-application-support@ec.europa.eu</w:t>
        </w:r>
      </w:hyperlink>
      <w:r w:rsidR="00D00ABA">
        <w:rPr>
          <w:lang w:val="en-IE"/>
        </w:rPr>
        <w:t xml:space="preserve"> </w:t>
      </w:r>
      <w:hyperlink r:id="rId21" w:history="1">
        <w:r w:rsidR="003B2CA1" w:rsidRPr="003B2CA1">
          <w:rPr>
            <w:rStyle w:val="Hyperlink"/>
          </w:rPr>
          <w:t>mailto:</w:t>
        </w:r>
      </w:hyperlink>
      <w:r>
        <w:rPr>
          <w:b/>
        </w:rPr>
        <w:t>via the online support form in PROSPECT.</w:t>
      </w:r>
    </w:p>
    <w:p w14:paraId="69C661BF" w14:textId="77777777" w:rsidR="008B4806" w:rsidRPr="00BA6979" w:rsidRDefault="008B4806" w:rsidP="00F61F60">
      <w:pPr>
        <w:pStyle w:val="Guidelines3"/>
        <w:numPr>
          <w:ilvl w:val="2"/>
          <w:numId w:val="6"/>
        </w:numPr>
      </w:pPr>
      <w:bookmarkStart w:id="43" w:name="_Toc125454352"/>
      <w:bookmarkStart w:id="44" w:name="_Toc185257678"/>
      <w:r w:rsidRPr="00BA6979">
        <w:t xml:space="preserve">Concept </w:t>
      </w:r>
      <w:r w:rsidR="000D61C6" w:rsidRPr="00BA6979">
        <w:t>n</w:t>
      </w:r>
      <w:r w:rsidRPr="00BA6979">
        <w:t xml:space="preserve">ote </w:t>
      </w:r>
      <w:bookmarkEnd w:id="43"/>
      <w:r w:rsidR="00DB0B48" w:rsidRPr="00BA6979">
        <w:t>conten</w:t>
      </w:r>
      <w:r w:rsidR="005D7AF3" w:rsidRPr="00BA6979">
        <w:t>t</w:t>
      </w:r>
      <w:bookmarkEnd w:id="44"/>
      <w:r w:rsidR="005D7AF3" w:rsidRPr="00BA6979">
        <w:t xml:space="preserve"> </w:t>
      </w:r>
    </w:p>
    <w:p w14:paraId="7AA0CD27" w14:textId="77777777" w:rsidR="00DB0B48" w:rsidRPr="00807DAF" w:rsidRDefault="00DB0B48" w:rsidP="00F36C74">
      <w:pPr>
        <w:spacing w:after="120" w:line="240" w:lineRule="atLeast"/>
        <w:rPr>
          <w:color w:val="000000"/>
        </w:rPr>
      </w:pPr>
      <w:r w:rsidRPr="00BA6979">
        <w:t xml:space="preserve">Applications must be submitted </w:t>
      </w:r>
      <w:r w:rsidR="00E94F83" w:rsidRPr="00BA6979">
        <w:t xml:space="preserve">in accordance </w:t>
      </w:r>
      <w:r w:rsidRPr="00BA6979">
        <w:t xml:space="preserve">with the </w:t>
      </w:r>
      <w:r w:rsidR="000D61C6" w:rsidRPr="00BA6979">
        <w:t>c</w:t>
      </w:r>
      <w:r w:rsidRPr="00BA6979">
        <w:t xml:space="preserve">oncept </w:t>
      </w:r>
      <w:r w:rsidR="000D61C6" w:rsidRPr="00BA6979">
        <w:t>n</w:t>
      </w:r>
      <w:r w:rsidRPr="00BA6979">
        <w:t>ote</w:t>
      </w:r>
      <w:r w:rsidR="00F47D23" w:rsidRPr="00BA6979">
        <w:t xml:space="preserve"> instructions</w:t>
      </w:r>
      <w:r w:rsidRPr="00BA6979">
        <w:t xml:space="preserve"> in the </w:t>
      </w:r>
      <w:r w:rsidR="000D61C6" w:rsidRPr="00BA6979">
        <w:t>g</w:t>
      </w:r>
      <w:r w:rsidRPr="00BA6979">
        <w:t xml:space="preserve">rant </w:t>
      </w:r>
      <w:r w:rsidR="000D61C6" w:rsidRPr="00BA6979">
        <w:t>a</w:t>
      </w:r>
      <w:r w:rsidRPr="00BA6979">
        <w:t xml:space="preserve">pplication </w:t>
      </w:r>
      <w:r w:rsidR="000D61C6" w:rsidRPr="00BA6979">
        <w:t>f</w:t>
      </w:r>
      <w:r w:rsidRPr="00BA6979">
        <w:t xml:space="preserve">orm annexed to these </w:t>
      </w:r>
      <w:r w:rsidR="000D61C6" w:rsidRPr="00BA6979">
        <w:t>g</w:t>
      </w:r>
      <w:r w:rsidRPr="00BA6979">
        <w:t xml:space="preserve">uidelines (Annex A). </w:t>
      </w:r>
      <w:bookmarkStart w:id="45" w:name="_Hlk163813203"/>
      <w:r w:rsidR="00DA5A09" w:rsidRPr="00DA5A09">
        <w:t xml:space="preserve">Lead applicants should then keep strictly to the format of the </w:t>
      </w:r>
      <w:r w:rsidR="00DA5A09">
        <w:t>concept note</w:t>
      </w:r>
      <w:r w:rsidR="00DA5A09" w:rsidRPr="00DA5A09">
        <w:t xml:space="preserve"> and fill in the paragraphs and pages in order.</w:t>
      </w:r>
      <w:bookmarkEnd w:id="45"/>
    </w:p>
    <w:p w14:paraId="05EB392C" w14:textId="77777777" w:rsidR="00DB0B48" w:rsidRDefault="00DB0B48" w:rsidP="00F36C74">
      <w:pPr>
        <w:spacing w:after="120" w:line="240" w:lineRule="atLeast"/>
        <w:rPr>
          <w:color w:val="000000"/>
        </w:rPr>
      </w:pPr>
      <w:r w:rsidRPr="00BA6979">
        <w:rPr>
          <w:color w:val="000000"/>
        </w:rPr>
        <w:t xml:space="preserve">Applicants must apply in </w:t>
      </w:r>
      <w:r w:rsidRPr="00133F74">
        <w:rPr>
          <w:color w:val="000000"/>
        </w:rPr>
        <w:t>English</w:t>
      </w:r>
      <w:r w:rsidRPr="00807DAF">
        <w:rPr>
          <w:color w:val="000000"/>
        </w:rPr>
        <w:t>.</w:t>
      </w:r>
      <w:r w:rsidR="00264C31" w:rsidRPr="00807DAF">
        <w:rPr>
          <w:color w:val="000000"/>
        </w:rPr>
        <w:t xml:space="preserve"> </w:t>
      </w:r>
    </w:p>
    <w:p w14:paraId="2BFD04F5" w14:textId="77777777" w:rsidR="00D66591" w:rsidRPr="00092AB2" w:rsidRDefault="00D66591" w:rsidP="001B7D50">
      <w:pPr>
        <w:pStyle w:val="Normal-box"/>
        <w:spacing w:before="0" w:line="240" w:lineRule="atLeast"/>
        <w:rPr>
          <w:b/>
          <w:lang w:val="en-IE" w:eastAsia="en-GB"/>
        </w:rPr>
      </w:pPr>
      <w:bookmarkStart w:id="46" w:name="_Hlk163807288"/>
      <w:r w:rsidRPr="00092AB2">
        <w:rPr>
          <w:b/>
          <w:lang w:val="en-IE" w:eastAsia="en-GB"/>
        </w:rPr>
        <w:t>WARNING</w:t>
      </w:r>
    </w:p>
    <w:p w14:paraId="24B3F8C8" w14:textId="77777777" w:rsidR="00D66591" w:rsidRPr="00667948" w:rsidRDefault="00D66591" w:rsidP="001B7D50">
      <w:pPr>
        <w:pStyle w:val="Normal-box"/>
        <w:spacing w:before="0" w:line="240" w:lineRule="atLeast"/>
        <w:rPr>
          <w:lang w:val="en-IE" w:eastAsia="en-GB"/>
        </w:rPr>
      </w:pPr>
      <w:r w:rsidRPr="00667948">
        <w:rPr>
          <w:lang w:val="en-IE" w:eastAsia="en-GB"/>
        </w:rPr>
        <w:t xml:space="preserve">The title of your proposal will become, if selected, the subject matter of the grant contract that will be signed with your organisation. </w:t>
      </w:r>
    </w:p>
    <w:p w14:paraId="275BD8F7" w14:textId="77777777" w:rsidR="00D66591" w:rsidRPr="00092AB2" w:rsidRDefault="00D66591" w:rsidP="001B7D50">
      <w:pPr>
        <w:pStyle w:val="Normal-box"/>
        <w:spacing w:before="0" w:line="240" w:lineRule="atLeast"/>
        <w:rPr>
          <w:lang w:val="en-IE" w:eastAsia="en-GB"/>
        </w:rPr>
      </w:pPr>
      <w:r w:rsidRPr="00667948">
        <w:rPr>
          <w:lang w:val="en-IE" w:eastAsia="en-GB"/>
        </w:rPr>
        <w:t xml:space="preserve">On the </w:t>
      </w:r>
      <w:hyperlink r:id="rId22" w:history="1">
        <w:r w:rsidRPr="00F83818">
          <w:rPr>
            <w:rStyle w:val="Hyperlink"/>
            <w:lang w:val="en-IE" w:eastAsia="en-GB"/>
          </w:rPr>
          <w:t>Europa website</w:t>
        </w:r>
      </w:hyperlink>
      <w:r w:rsidRPr="00667948">
        <w:rPr>
          <w:lang w:val="en-IE" w:eastAsia="en-GB"/>
        </w:rPr>
        <w:t xml:space="preserve">, the field ‘Public subject’, using the title of the selected proposal, is used for publication in the Financial Transparency System (FTS) of all EU grants. </w:t>
      </w:r>
      <w:r w:rsidRPr="00092AB2">
        <w:rPr>
          <w:lang w:val="en-IE" w:eastAsia="en-GB"/>
        </w:rPr>
        <w:t xml:space="preserve">This field, being intended for the </w:t>
      </w:r>
      <w:proofErr w:type="gramStart"/>
      <w:r w:rsidRPr="00092AB2">
        <w:rPr>
          <w:lang w:val="en-IE" w:eastAsia="en-GB"/>
        </w:rPr>
        <w:t>general public</w:t>
      </w:r>
      <w:proofErr w:type="gramEnd"/>
      <w:r w:rsidRPr="00092AB2">
        <w:rPr>
          <w:lang w:val="en-IE" w:eastAsia="en-GB"/>
        </w:rPr>
        <w:t>, should provide general and clear information on the purpose of the expenditure.</w:t>
      </w:r>
    </w:p>
    <w:p w14:paraId="099F3A13" w14:textId="77777777" w:rsidR="00D66591" w:rsidRPr="00092AB2" w:rsidRDefault="00D66591" w:rsidP="001B7D50">
      <w:pPr>
        <w:pStyle w:val="Normal-box"/>
        <w:spacing w:before="0" w:line="240" w:lineRule="atLeast"/>
        <w:rPr>
          <w:lang w:val="en-IE" w:eastAsia="en-GB"/>
        </w:rPr>
      </w:pPr>
      <w:r w:rsidRPr="00092AB2">
        <w:rPr>
          <w:lang w:val="en-IE" w:eastAsia="en-GB"/>
        </w:rPr>
        <w:t xml:space="preserve">We therefore recommend </w:t>
      </w:r>
      <w:proofErr w:type="gramStart"/>
      <w:r w:rsidRPr="00092AB2">
        <w:rPr>
          <w:lang w:val="en-IE" w:eastAsia="en-GB"/>
        </w:rPr>
        <w:t>to define</w:t>
      </w:r>
      <w:proofErr w:type="gramEnd"/>
      <w:r w:rsidRPr="00092AB2">
        <w:rPr>
          <w:lang w:val="en-IE" w:eastAsia="en-GB"/>
        </w:rPr>
        <w:t xml:space="preserve"> the subject matter of your proposal along the following indications.</w:t>
      </w:r>
    </w:p>
    <w:p w14:paraId="3C83A32D" w14:textId="77777777" w:rsidR="00D66591" w:rsidRPr="00092AB2" w:rsidRDefault="00D66591" w:rsidP="001B7D50">
      <w:pPr>
        <w:pStyle w:val="Normal-box"/>
        <w:spacing w:before="0" w:line="240" w:lineRule="atLeast"/>
        <w:rPr>
          <w:lang w:val="en-IE" w:eastAsia="en-GB"/>
        </w:rPr>
      </w:pPr>
      <w:r w:rsidRPr="00092AB2">
        <w:rPr>
          <w:lang w:val="en-IE" w:eastAsia="en-GB"/>
        </w:rPr>
        <w:t xml:space="preserve">An appropriate subject: </w:t>
      </w:r>
    </w:p>
    <w:p w14:paraId="2117B8A3" w14:textId="77777777" w:rsidR="00D66591" w:rsidRPr="00092AB2" w:rsidRDefault="00D66591" w:rsidP="001B7D50">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 xml:space="preserve">refers to the content of the project or its </w:t>
      </w:r>
      <w:proofErr w:type="gramStart"/>
      <w:r w:rsidRPr="00092AB2">
        <w:rPr>
          <w:lang w:val="en-IE" w:eastAsia="en-GB"/>
        </w:rPr>
        <w:t>objective</w:t>
      </w:r>
      <w:r>
        <w:rPr>
          <w:lang w:val="en-IE" w:eastAsia="en-GB"/>
        </w:rPr>
        <w:t>;</w:t>
      </w:r>
      <w:proofErr w:type="gramEnd"/>
    </w:p>
    <w:p w14:paraId="2612FD0A" w14:textId="77777777" w:rsidR="00D66591" w:rsidRPr="00092AB2" w:rsidRDefault="00D66591" w:rsidP="001B7D50">
      <w:pPr>
        <w:pStyle w:val="Normal-box"/>
        <w:spacing w:before="0" w:line="240" w:lineRule="atLeast"/>
        <w:ind w:left="720" w:hanging="720"/>
        <w:rPr>
          <w:lang w:val="en-IE" w:eastAsia="en-GB"/>
        </w:rPr>
      </w:pPr>
      <w:r w:rsidRPr="00066C30">
        <w:rPr>
          <w:lang w:val="en-IE" w:eastAsia="en-GB"/>
        </w:rPr>
        <w:t>•</w:t>
      </w:r>
      <w:r>
        <w:rPr>
          <w:lang w:val="en-IE" w:eastAsia="en-GB"/>
        </w:rPr>
        <w:tab/>
      </w:r>
      <w:r w:rsidRPr="00092AB2">
        <w:rPr>
          <w:lang w:val="en-IE" w:eastAsia="en-GB"/>
        </w:rPr>
        <w:t xml:space="preserve">does not repeat information available in other fields such as the recipient's name, the programme, the </w:t>
      </w:r>
      <w:proofErr w:type="gramStart"/>
      <w:r w:rsidRPr="00092AB2">
        <w:rPr>
          <w:lang w:val="en-IE" w:eastAsia="en-GB"/>
        </w:rPr>
        <w:t>year</w:t>
      </w:r>
      <w:r>
        <w:rPr>
          <w:lang w:val="en-IE" w:eastAsia="en-GB"/>
        </w:rPr>
        <w:t>;</w:t>
      </w:r>
      <w:proofErr w:type="gramEnd"/>
    </w:p>
    <w:p w14:paraId="41822879" w14:textId="77777777" w:rsidR="00D66591" w:rsidRPr="00092AB2" w:rsidRDefault="00D66591" w:rsidP="001B7D50">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 xml:space="preserve">is preferably written in </w:t>
      </w:r>
      <w:proofErr w:type="gramStart"/>
      <w:r w:rsidRPr="00092AB2">
        <w:rPr>
          <w:lang w:val="en-IE" w:eastAsia="en-GB"/>
        </w:rPr>
        <w:t>English</w:t>
      </w:r>
      <w:r>
        <w:rPr>
          <w:lang w:val="en-IE" w:eastAsia="en-GB"/>
        </w:rPr>
        <w:t>;</w:t>
      </w:r>
      <w:proofErr w:type="gramEnd"/>
    </w:p>
    <w:p w14:paraId="39577A81" w14:textId="77777777" w:rsidR="00D66591" w:rsidRPr="00092AB2" w:rsidRDefault="00D66591" w:rsidP="001B7D50">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 xml:space="preserve">may contain acronyms if relevant for the </w:t>
      </w:r>
      <w:proofErr w:type="gramStart"/>
      <w:r w:rsidRPr="00092AB2">
        <w:rPr>
          <w:lang w:val="en-IE" w:eastAsia="en-GB"/>
        </w:rPr>
        <w:t>citizens</w:t>
      </w:r>
      <w:r>
        <w:rPr>
          <w:lang w:val="en-IE" w:eastAsia="en-GB"/>
        </w:rPr>
        <w:t>;</w:t>
      </w:r>
      <w:proofErr w:type="gramEnd"/>
    </w:p>
    <w:p w14:paraId="6C038AD1" w14:textId="77777777" w:rsidR="00D66591" w:rsidRPr="00092AB2" w:rsidRDefault="00D66591" w:rsidP="001B7D50">
      <w:pPr>
        <w:pStyle w:val="Normal-box"/>
        <w:spacing w:before="0" w:line="240" w:lineRule="atLeast"/>
        <w:rPr>
          <w:lang w:val="en-IE" w:eastAsia="en-GB"/>
        </w:rPr>
      </w:pPr>
      <w:r w:rsidRPr="00066C30">
        <w:rPr>
          <w:lang w:val="en-IE" w:eastAsia="en-GB"/>
        </w:rPr>
        <w:t>•</w:t>
      </w:r>
      <w:r>
        <w:rPr>
          <w:lang w:val="en-IE" w:eastAsia="en-GB"/>
        </w:rPr>
        <w:tab/>
      </w:r>
      <w:r w:rsidRPr="00092AB2">
        <w:rPr>
          <w:lang w:val="en-IE" w:eastAsia="en-GB"/>
        </w:rPr>
        <w:t>may contain the reference to the project or programme</w:t>
      </w:r>
      <w:r>
        <w:rPr>
          <w:lang w:val="en-IE" w:eastAsia="en-GB"/>
        </w:rPr>
        <w:t>.</w:t>
      </w:r>
    </w:p>
    <w:bookmarkEnd w:id="46"/>
    <w:p w14:paraId="5EF1599A" w14:textId="77777777" w:rsidR="00A14225" w:rsidRDefault="00DB0B48" w:rsidP="001B7D50">
      <w:pPr>
        <w:spacing w:after="120" w:line="240" w:lineRule="atLeast"/>
      </w:pPr>
      <w:r w:rsidRPr="00BA6979">
        <w:t xml:space="preserve">In the </w:t>
      </w:r>
      <w:r w:rsidR="000D61C6" w:rsidRPr="00BA6979">
        <w:t>c</w:t>
      </w:r>
      <w:r w:rsidRPr="00BA6979">
        <w:t xml:space="preserve">oncept </w:t>
      </w:r>
      <w:r w:rsidR="000D61C6" w:rsidRPr="00BA6979">
        <w:t>n</w:t>
      </w:r>
      <w:r w:rsidRPr="00BA6979">
        <w:t xml:space="preserve">ote, </w:t>
      </w:r>
      <w:r w:rsidR="00B114D9" w:rsidRPr="00BA6979">
        <w:t>lead a</w:t>
      </w:r>
      <w:r w:rsidRPr="00BA6979">
        <w:t xml:space="preserve">pplicants must </w:t>
      </w:r>
      <w:r w:rsidR="00E94F83" w:rsidRPr="00BA6979">
        <w:t xml:space="preserve">only </w:t>
      </w:r>
      <w:r w:rsidRPr="00BA6979">
        <w:t xml:space="preserve">provide an estimate of </w:t>
      </w:r>
      <w:r w:rsidR="00E94F83" w:rsidRPr="00BA6979">
        <w:t xml:space="preserve">the </w:t>
      </w:r>
      <w:r w:rsidR="002B68A5" w:rsidRPr="00BA6979">
        <w:t xml:space="preserve">requested EU </w:t>
      </w:r>
      <w:r w:rsidR="00E94F83" w:rsidRPr="00BA6979">
        <w:t xml:space="preserve">contribution </w:t>
      </w:r>
      <w:r w:rsidR="002B68A5" w:rsidRPr="00BA6979">
        <w:t xml:space="preserve">as well as </w:t>
      </w:r>
      <w:r w:rsidR="00EE2C5A" w:rsidRPr="00BA6979">
        <w:t xml:space="preserve">an indicative percentage of that contribution in relation to the </w:t>
      </w:r>
      <w:r w:rsidR="00A762B5" w:rsidRPr="00BA6979">
        <w:t xml:space="preserve">eligible costs </w:t>
      </w:r>
      <w:r w:rsidR="00EE2C5A" w:rsidRPr="00BA6979">
        <w:t xml:space="preserve">of the </w:t>
      </w:r>
      <w:r w:rsidR="000D61C6" w:rsidRPr="00BA6979">
        <w:t>a</w:t>
      </w:r>
      <w:r w:rsidR="00EE2C5A" w:rsidRPr="00BA6979">
        <w:t>ction</w:t>
      </w:r>
      <w:r w:rsidR="00A14225">
        <w:t xml:space="preserve"> </w:t>
      </w:r>
      <w:bookmarkStart w:id="47" w:name="_Hlk163813247"/>
      <w:r w:rsidR="00A14225">
        <w:t xml:space="preserve">(the percentage only applicable, where the grant takes the form, </w:t>
      </w:r>
      <w:r w:rsidR="00BC4CCE">
        <w:t>entire</w:t>
      </w:r>
      <w:r w:rsidR="00A14225">
        <w:t>ly or partially, of reimbursement of costs)</w:t>
      </w:r>
      <w:bookmarkEnd w:id="47"/>
      <w:r w:rsidRPr="00BA6979">
        <w:t xml:space="preserve">. </w:t>
      </w:r>
    </w:p>
    <w:p w14:paraId="6C075584" w14:textId="77777777" w:rsidR="00A14225" w:rsidRDefault="00A762B5" w:rsidP="001B7D50">
      <w:pPr>
        <w:spacing w:after="120" w:line="240" w:lineRule="atLeast"/>
      </w:pPr>
      <w:r w:rsidRPr="00BA6979">
        <w:t>A detailed budget is to be submitted</w:t>
      </w:r>
      <w:r w:rsidRPr="00B723AF">
        <w:t xml:space="preserve"> </w:t>
      </w:r>
      <w:r w:rsidRPr="00BA6979">
        <w:t>o</w:t>
      </w:r>
      <w:r w:rsidR="00DB0B48" w:rsidRPr="00BA6979">
        <w:t>nly</w:t>
      </w:r>
      <w:r w:rsidR="00AB5CDD" w:rsidRPr="00BA6979">
        <w:t xml:space="preserve"> by</w:t>
      </w:r>
      <w:r w:rsidR="00DB0B48" w:rsidRPr="00BA6979">
        <w:t xml:space="preserve"> the </w:t>
      </w:r>
      <w:r w:rsidR="00B114D9" w:rsidRPr="00BA6979">
        <w:t xml:space="preserve">lead </w:t>
      </w:r>
      <w:r w:rsidR="00DB0B48" w:rsidRPr="00BA6979">
        <w:t>applicant</w:t>
      </w:r>
      <w:r w:rsidR="00D751A1" w:rsidRPr="00BA6979">
        <w:t>s</w:t>
      </w:r>
      <w:r w:rsidR="00DB0B48" w:rsidRPr="00BA6979">
        <w:t xml:space="preserve"> invited to submit a full </w:t>
      </w:r>
      <w:r w:rsidR="006459C5" w:rsidRPr="00BA6979">
        <w:t>application</w:t>
      </w:r>
      <w:r w:rsidR="00DB0B48" w:rsidRPr="00BA6979">
        <w:t xml:space="preserve"> in the second phase</w:t>
      </w:r>
      <w:r w:rsidR="004B244E" w:rsidRPr="00BA6979">
        <w:t>.</w:t>
      </w:r>
      <w:r w:rsidR="00DB0B48" w:rsidRPr="00BA6979">
        <w:t xml:space="preserve"> </w:t>
      </w:r>
    </w:p>
    <w:p w14:paraId="70688A5B" w14:textId="77777777" w:rsidR="00B723AF" w:rsidRPr="00382AEC" w:rsidRDefault="00B723AF" w:rsidP="001B7D50">
      <w:pPr>
        <w:spacing w:after="120" w:line="240" w:lineRule="atLeast"/>
      </w:pPr>
      <w:r w:rsidRPr="00382AEC">
        <w:t>The elements outlined in the concept note may not be modified in the full application</w:t>
      </w:r>
      <w:r w:rsidR="00686F88">
        <w:t>, except for the changes described below:</w:t>
      </w:r>
    </w:p>
    <w:p w14:paraId="7590CA5A" w14:textId="77777777" w:rsidR="00B723AF" w:rsidRPr="00382AEC" w:rsidRDefault="00B723AF" w:rsidP="00F61F60">
      <w:pPr>
        <w:numPr>
          <w:ilvl w:val="0"/>
          <w:numId w:val="24"/>
        </w:numPr>
        <w:spacing w:after="120" w:line="240" w:lineRule="atLeast"/>
        <w:ind w:left="1134" w:hanging="425"/>
      </w:pPr>
      <w:r w:rsidRPr="00382AEC">
        <w:t>The EU contribution may not vary from the initial estimate by more than 20</w:t>
      </w:r>
      <w:r w:rsidRPr="009B208C">
        <w:rPr>
          <w:w w:val="50"/>
        </w:rPr>
        <w:t> </w:t>
      </w:r>
      <w:r w:rsidRPr="00382AEC">
        <w:t>%. Lead applicants are free to adapt the percentage of co-financing required within the minimum and maximum amount and percentages of co-financing, as laid down in these guidelines in Section 1.3</w:t>
      </w:r>
      <w:r w:rsidR="00A14225">
        <w:t xml:space="preserve"> </w:t>
      </w:r>
      <w:bookmarkStart w:id="48" w:name="_Hlk163813273"/>
      <w:r w:rsidR="00A14225">
        <w:t>(only applicable in the case of grants taking the form, totally or partially, of reimbursement of costs)</w:t>
      </w:r>
      <w:bookmarkEnd w:id="48"/>
      <w:r w:rsidRPr="00382AEC">
        <w:t>.</w:t>
      </w:r>
      <w:r w:rsidRPr="00382AEC">
        <w:rPr>
          <w:iCs/>
          <w:color w:val="1F497D"/>
        </w:rPr>
        <w:t xml:space="preserve"> </w:t>
      </w:r>
    </w:p>
    <w:p w14:paraId="4EAFE44B" w14:textId="77777777" w:rsidR="00B723AF" w:rsidRPr="00382AEC" w:rsidRDefault="00B723AF" w:rsidP="00F61F60">
      <w:pPr>
        <w:numPr>
          <w:ilvl w:val="0"/>
          <w:numId w:val="24"/>
        </w:numPr>
        <w:spacing w:after="120" w:line="240" w:lineRule="atLeast"/>
        <w:ind w:left="1134" w:hanging="425"/>
      </w:pPr>
      <w:r w:rsidRPr="00382AEC">
        <w:rPr>
          <w:iCs/>
          <w:color w:val="000000"/>
        </w:rPr>
        <w:t xml:space="preserve">The lead applicant may add, remove or </w:t>
      </w:r>
      <w:r w:rsidRPr="007B1B61">
        <w:rPr>
          <w:iCs/>
          <w:color w:val="000000"/>
        </w:rPr>
        <w:t>replace one or more</w:t>
      </w:r>
      <w:r w:rsidRPr="00382AEC">
        <w:rPr>
          <w:iCs/>
          <w:color w:val="000000"/>
        </w:rPr>
        <w:t xml:space="preserve"> co-applicant</w:t>
      </w:r>
      <w:r w:rsidRPr="007B1B61">
        <w:rPr>
          <w:iCs/>
          <w:color w:val="000000"/>
        </w:rPr>
        <w:t xml:space="preserve">(s) or </w:t>
      </w:r>
      <w:r w:rsidRPr="00382AEC">
        <w:rPr>
          <w:iCs/>
          <w:color w:val="000000"/>
        </w:rPr>
        <w:t xml:space="preserve">affiliated entity </w:t>
      </w:r>
      <w:r w:rsidRPr="007B1B61">
        <w:rPr>
          <w:iCs/>
          <w:color w:val="000000"/>
        </w:rPr>
        <w:t>(</w:t>
      </w:r>
      <w:proofErr w:type="spellStart"/>
      <w:r w:rsidRPr="007B1B61">
        <w:rPr>
          <w:iCs/>
          <w:color w:val="000000"/>
        </w:rPr>
        <w:t>ies</w:t>
      </w:r>
      <w:proofErr w:type="spellEnd"/>
      <w:r w:rsidRPr="007B1B61">
        <w:rPr>
          <w:iCs/>
          <w:color w:val="000000"/>
        </w:rPr>
        <w:t>)</w:t>
      </w:r>
      <w:r w:rsidR="00686F88">
        <w:rPr>
          <w:iCs/>
          <w:color w:val="000000"/>
        </w:rPr>
        <w:t xml:space="preserve"> </w:t>
      </w:r>
      <w:r w:rsidRPr="00382AEC">
        <w:rPr>
          <w:iCs/>
          <w:color w:val="000000"/>
        </w:rPr>
        <w:t xml:space="preserve">only in duly justified cases. </w:t>
      </w:r>
    </w:p>
    <w:p w14:paraId="4CD5E5FD" w14:textId="77777777" w:rsidR="00A14225" w:rsidRPr="001B7D50" w:rsidRDefault="00B723AF" w:rsidP="00F61F60">
      <w:pPr>
        <w:numPr>
          <w:ilvl w:val="0"/>
          <w:numId w:val="24"/>
        </w:numPr>
        <w:spacing w:after="120" w:line="240" w:lineRule="atLeast"/>
        <w:ind w:left="1134" w:hanging="425"/>
      </w:pPr>
      <w:r w:rsidRPr="00382AEC">
        <w:rPr>
          <w:iCs/>
          <w:color w:val="000000"/>
        </w:rPr>
        <w:t xml:space="preserve">The lead applicant may adjust the duration of the action if unforeseen circumstances </w:t>
      </w:r>
      <w:r w:rsidR="00A14225">
        <w:rPr>
          <w:iCs/>
          <w:color w:val="000000"/>
        </w:rPr>
        <w:t xml:space="preserve">beyond </w:t>
      </w:r>
      <w:proofErr w:type="gramStart"/>
      <w:r w:rsidR="00A14225">
        <w:rPr>
          <w:iCs/>
          <w:color w:val="000000"/>
        </w:rPr>
        <w:t xml:space="preserve">the </w:t>
      </w:r>
      <w:r w:rsidRPr="00382AEC">
        <w:rPr>
          <w:iCs/>
          <w:color w:val="000000"/>
        </w:rPr>
        <w:t xml:space="preserve"> applicants</w:t>
      </w:r>
      <w:proofErr w:type="gramEnd"/>
      <w:r w:rsidRPr="00382AEC">
        <w:rPr>
          <w:iCs/>
          <w:color w:val="000000"/>
        </w:rPr>
        <w:t xml:space="preserve"> </w:t>
      </w:r>
      <w:r w:rsidR="00A14225">
        <w:rPr>
          <w:iCs/>
          <w:color w:val="000000"/>
        </w:rPr>
        <w:t xml:space="preserve">control </w:t>
      </w:r>
      <w:r w:rsidRPr="00382AEC">
        <w:rPr>
          <w:iCs/>
          <w:color w:val="000000"/>
        </w:rPr>
        <w:t>have taken place following the submission of the concept note and require such adaptation (risk of action not being carried out). In such cases</w:t>
      </w:r>
      <w:r w:rsidR="00AD295A">
        <w:rPr>
          <w:iCs/>
          <w:color w:val="000000"/>
        </w:rPr>
        <w:t>,</w:t>
      </w:r>
      <w:r w:rsidRPr="00382AEC">
        <w:rPr>
          <w:iCs/>
          <w:color w:val="000000"/>
        </w:rPr>
        <w:t xml:space="preserve"> the duration must remain within the limits imposed by the guidelines for applicants. </w:t>
      </w:r>
    </w:p>
    <w:p w14:paraId="44E50575" w14:textId="77777777" w:rsidR="00B723AF" w:rsidRPr="00382AEC" w:rsidRDefault="006264EC" w:rsidP="00F61F60">
      <w:pPr>
        <w:numPr>
          <w:ilvl w:val="0"/>
          <w:numId w:val="24"/>
        </w:numPr>
        <w:spacing w:after="120" w:line="240" w:lineRule="atLeast"/>
        <w:ind w:left="1134" w:hanging="425"/>
      </w:pPr>
      <w:r w:rsidRPr="00354676">
        <w:t>Own contributions by the applicants can be replaced by other donors' contributions at any time</w:t>
      </w:r>
      <w:r>
        <w:t>.</w:t>
      </w:r>
    </w:p>
    <w:p w14:paraId="210F3E96" w14:textId="77777777" w:rsidR="00B723AF" w:rsidRPr="00382AEC" w:rsidRDefault="00B723AF" w:rsidP="00F36C74">
      <w:pPr>
        <w:spacing w:after="120" w:line="240" w:lineRule="atLeast"/>
        <w:rPr>
          <w:b/>
        </w:rPr>
      </w:pPr>
      <w:r w:rsidRPr="00A14225">
        <w:rPr>
          <w:b/>
          <w:iCs/>
          <w:color w:val="000000"/>
        </w:rPr>
        <w:lastRenderedPageBreak/>
        <w:t xml:space="preserve">An explanation/justification of the relevant replacements/adjustments shall be included in </w:t>
      </w:r>
      <w:r w:rsidR="00A14225" w:rsidRPr="001B7D50">
        <w:rPr>
          <w:b/>
          <w:iCs/>
          <w:color w:val="000000"/>
        </w:rPr>
        <w:t xml:space="preserve">the full application. </w:t>
      </w:r>
      <w:r w:rsidRPr="00A14225">
        <w:rPr>
          <w:b/>
          <w:iCs/>
        </w:rPr>
        <w:t xml:space="preserve">Should the explanation/justification not be accepted by the </w:t>
      </w:r>
      <w:r w:rsidR="00F925A3" w:rsidRPr="00A14225">
        <w:rPr>
          <w:b/>
          <w:iCs/>
        </w:rPr>
        <w:t>e</w:t>
      </w:r>
      <w:r w:rsidRPr="00A14225">
        <w:rPr>
          <w:b/>
          <w:iCs/>
        </w:rPr>
        <w:t xml:space="preserve">valuation </w:t>
      </w:r>
      <w:r w:rsidR="00F925A3" w:rsidRPr="00A14225">
        <w:rPr>
          <w:b/>
          <w:iCs/>
        </w:rPr>
        <w:t>c</w:t>
      </w:r>
      <w:r w:rsidRPr="00A14225">
        <w:rPr>
          <w:b/>
          <w:iCs/>
        </w:rPr>
        <w:t>ommittee, the proposal may be rejected on that sole basis.</w:t>
      </w:r>
    </w:p>
    <w:p w14:paraId="60E0B53D" w14:textId="77777777" w:rsidR="0059137A" w:rsidRPr="00BA6979" w:rsidRDefault="002B68A5" w:rsidP="00F36C74">
      <w:pPr>
        <w:spacing w:after="120" w:line="240" w:lineRule="atLeast"/>
        <w:rPr>
          <w:color w:val="000000"/>
          <w:lang w:eastAsia="en-GB"/>
        </w:rPr>
      </w:pPr>
      <w:r w:rsidRPr="00BA6979">
        <w:rPr>
          <w:color w:val="000000"/>
          <w:lang w:eastAsia="en-GB"/>
        </w:rPr>
        <w:t>O</w:t>
      </w:r>
      <w:r w:rsidR="0059137A" w:rsidRPr="00BA6979">
        <w:rPr>
          <w:color w:val="000000"/>
          <w:lang w:eastAsia="en-GB"/>
        </w:rPr>
        <w:t xml:space="preserve">nly the concept note form will be evaluated. It is therefore of utmost importance that this document contains ALL relevant information concerning the action. No additional annexes </w:t>
      </w:r>
      <w:r w:rsidR="00D60006">
        <w:rPr>
          <w:color w:val="000000"/>
          <w:lang w:eastAsia="en-GB"/>
        </w:rPr>
        <w:t>shall</w:t>
      </w:r>
      <w:r w:rsidR="00D60006" w:rsidRPr="00BA6979">
        <w:rPr>
          <w:color w:val="000000"/>
          <w:lang w:eastAsia="en-GB"/>
        </w:rPr>
        <w:t xml:space="preserve"> </w:t>
      </w:r>
      <w:r w:rsidR="0059137A" w:rsidRPr="00BA6979">
        <w:rPr>
          <w:color w:val="000000"/>
          <w:lang w:eastAsia="en-GB"/>
        </w:rPr>
        <w:t>be sent.</w:t>
      </w:r>
    </w:p>
    <w:p w14:paraId="2795E092" w14:textId="77777777" w:rsidR="004258BC" w:rsidRDefault="00D122E9" w:rsidP="00F36C74">
      <w:pPr>
        <w:spacing w:after="120" w:line="240" w:lineRule="atLeast"/>
        <w:rPr>
          <w:color w:val="000000"/>
        </w:rPr>
      </w:pPr>
      <w:r w:rsidRPr="00DB5286">
        <w:t xml:space="preserve">Please complete the </w:t>
      </w:r>
      <w:r w:rsidR="00A66ADE">
        <w:t>concept note</w:t>
      </w:r>
      <w:r w:rsidRPr="00DB5286">
        <w:t xml:space="preserve"> carefully and as clearly as possible so that it can be assessed properly.</w:t>
      </w:r>
      <w:r w:rsidRPr="00DB5286">
        <w:rPr>
          <w:color w:val="000000"/>
        </w:rPr>
        <w:t xml:space="preserve"> </w:t>
      </w:r>
    </w:p>
    <w:p w14:paraId="3BD4FABC" w14:textId="77777777" w:rsidR="00D122E9" w:rsidRPr="00DB5286" w:rsidRDefault="004258BC" w:rsidP="00F36C74">
      <w:pPr>
        <w:spacing w:after="120" w:line="240" w:lineRule="atLeast"/>
        <w:rPr>
          <w:color w:val="000000"/>
        </w:rPr>
      </w:pPr>
      <w:bookmarkStart w:id="49" w:name="_Hlk163813352"/>
      <w:r>
        <w:rPr>
          <w:b/>
          <w:u w:val="single"/>
        </w:rPr>
        <w:t>Please note that i</w:t>
      </w:r>
      <w:r w:rsidRPr="00F624A2">
        <w:rPr>
          <w:b/>
          <w:u w:val="single"/>
        </w:rPr>
        <w:t xml:space="preserve">ncomplete </w:t>
      </w:r>
      <w:r>
        <w:rPr>
          <w:b/>
          <w:u w:val="single"/>
        </w:rPr>
        <w:t>c</w:t>
      </w:r>
      <w:r w:rsidRPr="00F624A2">
        <w:rPr>
          <w:b/>
          <w:u w:val="single"/>
        </w:rPr>
        <w:t xml:space="preserve">oncept </w:t>
      </w:r>
      <w:r>
        <w:rPr>
          <w:b/>
          <w:u w:val="single"/>
        </w:rPr>
        <w:t>n</w:t>
      </w:r>
      <w:r w:rsidRPr="00F624A2">
        <w:rPr>
          <w:b/>
          <w:u w:val="single"/>
        </w:rPr>
        <w:t>otes may be rejected</w:t>
      </w:r>
      <w:r w:rsidRPr="00C0414D">
        <w:rPr>
          <w:b/>
        </w:rPr>
        <w:t>.</w:t>
      </w:r>
      <w:r w:rsidRPr="00C0414D">
        <w:t xml:space="preserve"> Lead </w:t>
      </w:r>
      <w:r>
        <w:t>a</w:t>
      </w:r>
      <w:r w:rsidRPr="00564F01">
        <w:t xml:space="preserve">pplicants </w:t>
      </w:r>
      <w:r>
        <w:t xml:space="preserve">are advised to </w:t>
      </w:r>
      <w:r w:rsidRPr="00564F01">
        <w:t xml:space="preserve">verify that their </w:t>
      </w:r>
      <w:r>
        <w:t>c</w:t>
      </w:r>
      <w:r w:rsidRPr="00564F01">
        <w:t xml:space="preserve">oncept </w:t>
      </w:r>
      <w:r>
        <w:t>n</w:t>
      </w:r>
      <w:r w:rsidRPr="00564F01">
        <w:t xml:space="preserve">ote is complete by using the </w:t>
      </w:r>
      <w:r>
        <w:t>c</w:t>
      </w:r>
      <w:r w:rsidRPr="00C0414D">
        <w:t>hecklist</w:t>
      </w:r>
      <w:r>
        <w:t xml:space="preserve"> f</w:t>
      </w:r>
      <w:r w:rsidRPr="00564F01">
        <w:t xml:space="preserve">or </w:t>
      </w:r>
      <w:r>
        <w:t>c</w:t>
      </w:r>
      <w:r w:rsidRPr="00564F01">
        <w:t xml:space="preserve">oncept </w:t>
      </w:r>
      <w:r>
        <w:t>n</w:t>
      </w:r>
      <w:r w:rsidRPr="00564F01">
        <w:t>ote (Annex A.1</w:t>
      </w:r>
      <w:r>
        <w:t>, Instructions</w:t>
      </w:r>
      <w:r w:rsidRPr="00564F01">
        <w:t>).</w:t>
      </w:r>
    </w:p>
    <w:bookmarkEnd w:id="49"/>
    <w:p w14:paraId="74A3D2E3" w14:textId="77777777" w:rsidR="00DB0B48" w:rsidRPr="00BA6979" w:rsidRDefault="00DB0B48" w:rsidP="00F36C74">
      <w:pPr>
        <w:spacing w:after="120" w:line="240" w:lineRule="atLeast"/>
        <w:rPr>
          <w:color w:val="000000"/>
        </w:rPr>
      </w:pPr>
      <w:r w:rsidRPr="00BA6979">
        <w:rPr>
          <w:color w:val="000000"/>
        </w:rPr>
        <w:t xml:space="preserve">Any error or major discrepancy related to the </w:t>
      </w:r>
      <w:r w:rsidR="000D61C6" w:rsidRPr="00BA6979">
        <w:rPr>
          <w:color w:val="000000"/>
        </w:rPr>
        <w:t>c</w:t>
      </w:r>
      <w:r w:rsidRPr="00BA6979">
        <w:rPr>
          <w:color w:val="000000"/>
        </w:rPr>
        <w:t xml:space="preserve">oncept </w:t>
      </w:r>
      <w:r w:rsidR="000D61C6" w:rsidRPr="00BA6979">
        <w:rPr>
          <w:color w:val="000000"/>
        </w:rPr>
        <w:t>n</w:t>
      </w:r>
      <w:r w:rsidRPr="00BA6979">
        <w:rPr>
          <w:color w:val="000000"/>
        </w:rPr>
        <w:t xml:space="preserve">ote </w:t>
      </w:r>
      <w:r w:rsidR="002A0BA0" w:rsidRPr="00BA6979">
        <w:rPr>
          <w:color w:val="000000"/>
        </w:rPr>
        <w:t xml:space="preserve">instructions </w:t>
      </w:r>
      <w:r w:rsidRPr="00BA6979">
        <w:rPr>
          <w:color w:val="000000"/>
        </w:rPr>
        <w:t xml:space="preserve">may lead to the rejection of the </w:t>
      </w:r>
      <w:r w:rsidR="000D61C6" w:rsidRPr="00BA6979">
        <w:rPr>
          <w:color w:val="000000"/>
        </w:rPr>
        <w:t>c</w:t>
      </w:r>
      <w:r w:rsidRPr="00BA6979">
        <w:rPr>
          <w:color w:val="000000"/>
        </w:rPr>
        <w:t xml:space="preserve">oncept </w:t>
      </w:r>
      <w:r w:rsidR="000D61C6" w:rsidRPr="00BA6979">
        <w:rPr>
          <w:color w:val="000000"/>
        </w:rPr>
        <w:t>n</w:t>
      </w:r>
      <w:r w:rsidRPr="00BA6979">
        <w:rPr>
          <w:color w:val="000000"/>
        </w:rPr>
        <w:t>ote.</w:t>
      </w:r>
      <w:r w:rsidR="00D122E9">
        <w:rPr>
          <w:color w:val="000000"/>
        </w:rPr>
        <w:t xml:space="preserve"> </w:t>
      </w:r>
    </w:p>
    <w:p w14:paraId="4BDE5170" w14:textId="77777777" w:rsidR="00DB0B48" w:rsidRPr="00BA6979" w:rsidRDefault="00DB0B48" w:rsidP="00F36C74">
      <w:pPr>
        <w:spacing w:after="120" w:line="240" w:lineRule="atLeast"/>
      </w:pPr>
      <w:r w:rsidRPr="00BA6979">
        <w:rPr>
          <w:color w:val="000000"/>
        </w:rPr>
        <w:t xml:space="preserve">Clarifications will only be requested when information provided is </w:t>
      </w:r>
      <w:r w:rsidR="006E09FB" w:rsidRPr="00BA6979">
        <w:rPr>
          <w:color w:val="000000"/>
        </w:rPr>
        <w:t>not sufficient to conduct</w:t>
      </w:r>
      <w:r w:rsidRPr="00BA6979">
        <w:rPr>
          <w:color w:val="000000"/>
        </w:rPr>
        <w:t xml:space="preserve"> an objective assessment. </w:t>
      </w:r>
    </w:p>
    <w:p w14:paraId="2AE72302" w14:textId="77777777" w:rsidR="008B4806" w:rsidRPr="00BA6979" w:rsidRDefault="008B4806" w:rsidP="00F61F60">
      <w:pPr>
        <w:pStyle w:val="Guidelines3"/>
        <w:numPr>
          <w:ilvl w:val="2"/>
          <w:numId w:val="6"/>
        </w:numPr>
      </w:pPr>
      <w:bookmarkStart w:id="50" w:name="_Toc125454353"/>
      <w:bookmarkStart w:id="51" w:name="_Toc185257679"/>
      <w:r w:rsidRPr="00BA6979">
        <w:t>Where and how to send</w:t>
      </w:r>
      <w:r w:rsidR="000D61C6" w:rsidRPr="00BA6979">
        <w:t xml:space="preserve"> c</w:t>
      </w:r>
      <w:r w:rsidRPr="00BA6979">
        <w:t xml:space="preserve">oncept </w:t>
      </w:r>
      <w:r w:rsidR="000D61C6" w:rsidRPr="00BA6979">
        <w:t>n</w:t>
      </w:r>
      <w:r w:rsidRPr="00BA6979">
        <w:t>otes</w:t>
      </w:r>
      <w:bookmarkEnd w:id="50"/>
      <w:bookmarkEnd w:id="51"/>
    </w:p>
    <w:p w14:paraId="0036DE18" w14:textId="77777777" w:rsidR="00BF389A" w:rsidRDefault="00BF389A" w:rsidP="00F36C74">
      <w:pPr>
        <w:spacing w:after="120" w:line="240" w:lineRule="atLeast"/>
      </w:pPr>
      <w:r>
        <w:t xml:space="preserve">The concept note together </w:t>
      </w:r>
      <w:r w:rsidR="00465AA9">
        <w:t xml:space="preserve">with </w:t>
      </w:r>
      <w:r>
        <w:t xml:space="preserve">the declaration by the lead applicant (Annex A.1 section 2) </w:t>
      </w:r>
      <w:r w:rsidRPr="00A73F08">
        <w:rPr>
          <w:b/>
        </w:rPr>
        <w:t>must</w:t>
      </w:r>
      <w:r>
        <w:t xml:space="preserve"> </w:t>
      </w:r>
      <w:r w:rsidRPr="00A73F08">
        <w:rPr>
          <w:b/>
        </w:rPr>
        <w:t>be submitted online</w:t>
      </w:r>
      <w:r>
        <w:t xml:space="preserve"> </w:t>
      </w:r>
      <w:r w:rsidRPr="00A73F08">
        <w:rPr>
          <w:b/>
        </w:rPr>
        <w:t>via PROSPECT</w:t>
      </w:r>
      <w:r>
        <w:t xml:space="preserve"> </w:t>
      </w:r>
      <w:hyperlink r:id="rId23" w:history="1">
        <w:r w:rsidR="00F874BB" w:rsidRPr="00556E3A">
          <w:rPr>
            <w:rStyle w:val="Hyperlink"/>
          </w:rPr>
          <w:t>https://webgate.ec.europa.eu/prospect</w:t>
        </w:r>
      </w:hyperlink>
      <w:r w:rsidR="00F874BB">
        <w:t xml:space="preserve"> </w:t>
      </w:r>
      <w:r>
        <w:t>following the instructions given in the PROSPECT user manual.</w:t>
      </w:r>
    </w:p>
    <w:p w14:paraId="53F2F471" w14:textId="77777777" w:rsidR="00BF389A" w:rsidRDefault="00BF389A" w:rsidP="00F36C74">
      <w:pPr>
        <w:pStyle w:val="Default"/>
        <w:spacing w:after="120" w:line="240" w:lineRule="atLeast"/>
        <w:jc w:val="both"/>
        <w:rPr>
          <w:sz w:val="22"/>
          <w:szCs w:val="22"/>
        </w:rPr>
      </w:pPr>
      <w:r>
        <w:rPr>
          <w:sz w:val="22"/>
          <w:szCs w:val="22"/>
        </w:rPr>
        <w:t xml:space="preserve">Upon submission of a concept note online, the lead applicant will receive an automatic confirmation of receipt in its PROSPECT profile. </w:t>
      </w:r>
    </w:p>
    <w:p w14:paraId="2A9875F6" w14:textId="77777777" w:rsidR="008B4806" w:rsidRPr="00BA6979" w:rsidRDefault="008B4806" w:rsidP="00F61F60">
      <w:pPr>
        <w:pStyle w:val="Guidelines3"/>
        <w:numPr>
          <w:ilvl w:val="2"/>
          <w:numId w:val="6"/>
        </w:numPr>
      </w:pPr>
      <w:bookmarkStart w:id="52" w:name="_Toc125454354"/>
      <w:bookmarkStart w:id="53" w:name="_Toc185257680"/>
      <w:r w:rsidRPr="00BA6979">
        <w:t xml:space="preserve">Deadline for </w:t>
      </w:r>
      <w:r w:rsidR="005C3B40" w:rsidRPr="00BA6979">
        <w:t xml:space="preserve">submission </w:t>
      </w:r>
      <w:r w:rsidRPr="00BA6979">
        <w:t xml:space="preserve">of </w:t>
      </w:r>
      <w:r w:rsidR="005A0945" w:rsidRPr="00BA6979">
        <w:t>c</w:t>
      </w:r>
      <w:r w:rsidRPr="00BA6979">
        <w:t xml:space="preserve">oncept </w:t>
      </w:r>
      <w:r w:rsidR="005A0945" w:rsidRPr="00BA6979">
        <w:t>n</w:t>
      </w:r>
      <w:r w:rsidRPr="00BA6979">
        <w:t>otes</w:t>
      </w:r>
      <w:bookmarkEnd w:id="52"/>
      <w:bookmarkEnd w:id="53"/>
      <w:r w:rsidRPr="00BA6979">
        <w:t xml:space="preserve"> </w:t>
      </w:r>
    </w:p>
    <w:p w14:paraId="35F2173D" w14:textId="77777777" w:rsidR="00DD76A8" w:rsidRDefault="00E72707" w:rsidP="00F36C74">
      <w:pPr>
        <w:spacing w:after="120" w:line="240" w:lineRule="atLeast"/>
        <w:rPr>
          <w:b/>
          <w:szCs w:val="32"/>
        </w:rPr>
      </w:pPr>
      <w:r w:rsidRPr="00FE05D4">
        <w:t xml:space="preserve">The deadline for the submission of </w:t>
      </w:r>
      <w:r>
        <w:t>concept notes</w:t>
      </w:r>
      <w:r w:rsidRPr="00FE05D4">
        <w:t xml:space="preserve"> is</w:t>
      </w:r>
      <w:r w:rsidRPr="00C93603">
        <w:t xml:space="preserve"> </w:t>
      </w:r>
      <w:r w:rsidR="00250D7E" w:rsidRPr="00731E00">
        <w:rPr>
          <w:b/>
          <w:bCs/>
        </w:rPr>
        <w:t>2</w:t>
      </w:r>
      <w:r w:rsidR="00250D7E" w:rsidRPr="00731E00">
        <w:rPr>
          <w:b/>
          <w:bCs/>
          <w:lang w:val="uk-UA"/>
        </w:rPr>
        <w:t>9</w:t>
      </w:r>
      <w:r w:rsidR="00CE18D2" w:rsidRPr="00731E00">
        <w:rPr>
          <w:b/>
          <w:bCs/>
        </w:rPr>
        <w:t xml:space="preserve"> January 2026</w:t>
      </w:r>
      <w:r w:rsidRPr="00731E00">
        <w:rPr>
          <w:b/>
          <w:bCs/>
        </w:rPr>
        <w:t xml:space="preserve"> at 12:00</w:t>
      </w:r>
      <w:r w:rsidRPr="00C93603">
        <w:t xml:space="preserve"> (Brussels date and time). </w:t>
      </w:r>
      <w:r w:rsidRPr="0040468C">
        <w:rPr>
          <w:szCs w:val="32"/>
        </w:rPr>
        <w:t>In order to convert this deadline to local time you can use an</w:t>
      </w:r>
      <w:r>
        <w:rPr>
          <w:szCs w:val="32"/>
        </w:rPr>
        <w:t>y</w:t>
      </w:r>
      <w:r w:rsidRPr="0040468C">
        <w:rPr>
          <w:szCs w:val="32"/>
        </w:rPr>
        <w:t xml:space="preserve"> online time converter tool that takes into account </w:t>
      </w:r>
      <w:r w:rsidR="00250D7E" w:rsidRPr="0040468C">
        <w:rPr>
          <w:szCs w:val="32"/>
        </w:rPr>
        <w:t>time zones</w:t>
      </w:r>
      <w:r w:rsidRPr="0040468C">
        <w:rPr>
          <w:szCs w:val="32"/>
        </w:rPr>
        <w:t xml:space="preserve"> and winter/summer time changes </w:t>
      </w:r>
      <w:r>
        <w:rPr>
          <w:szCs w:val="32"/>
        </w:rPr>
        <w:t>(example available</w:t>
      </w:r>
      <w:r w:rsidRPr="005F491D">
        <w:rPr>
          <w:b/>
          <w:szCs w:val="32"/>
        </w:rPr>
        <w:t xml:space="preserve"> </w:t>
      </w:r>
      <w:hyperlink r:id="rId24" w:history="1">
        <w:r w:rsidRPr="00493B68">
          <w:rPr>
            <w:rStyle w:val="Hyperlink"/>
            <w:b/>
            <w:szCs w:val="32"/>
          </w:rPr>
          <w:t>here</w:t>
        </w:r>
      </w:hyperlink>
      <w:r w:rsidR="00493B68" w:rsidRPr="00BA6979">
        <w:rPr>
          <w:szCs w:val="32"/>
        </w:rPr>
        <w:t>)</w:t>
      </w:r>
      <w:r w:rsidR="00493B68">
        <w:rPr>
          <w:b/>
          <w:szCs w:val="32"/>
        </w:rPr>
        <w:t xml:space="preserve"> </w:t>
      </w:r>
      <w:r>
        <w:rPr>
          <w:b/>
          <w:szCs w:val="32"/>
        </w:rPr>
        <w:t xml:space="preserve"> </w:t>
      </w:r>
    </w:p>
    <w:p w14:paraId="237253D5" w14:textId="77777777" w:rsidR="00E72707" w:rsidRDefault="00E72707" w:rsidP="00F36C74">
      <w:pPr>
        <w:spacing w:after="120" w:line="240" w:lineRule="atLeast"/>
      </w:pPr>
      <w:r w:rsidRPr="0040468C">
        <w:rPr>
          <w:b/>
        </w:rPr>
        <w:t xml:space="preserve">The </w:t>
      </w:r>
      <w:r>
        <w:rPr>
          <w:b/>
        </w:rPr>
        <w:t>lead a</w:t>
      </w:r>
      <w:r w:rsidRPr="0040468C">
        <w:rPr>
          <w:b/>
        </w:rPr>
        <w:t>pplicant is strongly advised not to wait until the last day to submit</w:t>
      </w:r>
      <w:r w:rsidRPr="00FE05D4">
        <w:t xml:space="preserve"> </w:t>
      </w:r>
      <w:r>
        <w:t>its</w:t>
      </w:r>
      <w:r w:rsidRPr="00FE05D4">
        <w:t xml:space="preserve"> </w:t>
      </w:r>
      <w:r>
        <w:t>c</w:t>
      </w:r>
      <w:r w:rsidRPr="00FE05D4">
        <w:t xml:space="preserve">oncept </w:t>
      </w:r>
      <w:r>
        <w:t>n</w:t>
      </w:r>
      <w:r w:rsidRPr="00FE05D4">
        <w:t xml:space="preserve">ote, since heavy Internet traffic or a fault with the Internet connection (including electricity failure, etc.) could lead to difficulties in submission. The </w:t>
      </w:r>
      <w:r w:rsidR="003F667F">
        <w:t>c</w:t>
      </w:r>
      <w:r w:rsidR="003F667F" w:rsidRPr="00FE05D4">
        <w:t>ont</w:t>
      </w:r>
      <w:r w:rsidR="00465AA9">
        <w:t>r</w:t>
      </w:r>
      <w:r w:rsidR="003F667F" w:rsidRPr="00FE05D4">
        <w:t xml:space="preserve">acting </w:t>
      </w:r>
      <w:r w:rsidR="003F667F">
        <w:t>a</w:t>
      </w:r>
      <w:r w:rsidR="003F667F" w:rsidRPr="00FE05D4">
        <w:t xml:space="preserve">uthority </w:t>
      </w:r>
      <w:r w:rsidRPr="00FE05D4">
        <w:t>cannot be held responsible for any delay due to such afore-mentioned difficulties</w:t>
      </w:r>
      <w:r w:rsidRPr="00BA1231">
        <w:t>.</w:t>
      </w:r>
      <w:r>
        <w:t xml:space="preserve"> </w:t>
      </w:r>
    </w:p>
    <w:p w14:paraId="7406CF98" w14:textId="77777777" w:rsidR="00E72707" w:rsidRDefault="00E72707" w:rsidP="00F36C74">
      <w:pPr>
        <w:spacing w:after="120" w:line="240" w:lineRule="atLeast"/>
      </w:pPr>
    </w:p>
    <w:p w14:paraId="4456E36B" w14:textId="77777777" w:rsidR="00B41A93" w:rsidRDefault="00E72707" w:rsidP="00F36C74">
      <w:pPr>
        <w:spacing w:after="120" w:line="240" w:lineRule="atLeast"/>
        <w:rPr>
          <w:lang w:bidi="kn-IN"/>
        </w:rPr>
      </w:pPr>
      <w:r w:rsidRPr="00FE05D4">
        <w:t xml:space="preserve">Any </w:t>
      </w:r>
      <w:r>
        <w:t>c</w:t>
      </w:r>
      <w:r w:rsidRPr="00FE05D4">
        <w:t xml:space="preserve">oncept </w:t>
      </w:r>
      <w:r>
        <w:t>n</w:t>
      </w:r>
      <w:r w:rsidRPr="00FE05D4">
        <w:t>ote submitted after the deadline will be rejected.</w:t>
      </w:r>
    </w:p>
    <w:p w14:paraId="545F5A9C" w14:textId="77777777" w:rsidR="008B4806" w:rsidRPr="00BA6979" w:rsidRDefault="008B4806" w:rsidP="00F61F60">
      <w:pPr>
        <w:pStyle w:val="Guidelines3"/>
        <w:numPr>
          <w:ilvl w:val="2"/>
          <w:numId w:val="6"/>
        </w:numPr>
      </w:pPr>
      <w:bookmarkStart w:id="54" w:name="_Toc125454355"/>
      <w:bookmarkStart w:id="55" w:name="_Toc185257681"/>
      <w:r w:rsidRPr="00BA6979">
        <w:t>Further information</w:t>
      </w:r>
      <w:bookmarkEnd w:id="54"/>
      <w:r w:rsidR="00CF7BEF" w:rsidRPr="00BA6979">
        <w:t xml:space="preserve"> </w:t>
      </w:r>
      <w:r w:rsidR="00E3173F" w:rsidRPr="00BA6979">
        <w:t xml:space="preserve">about </w:t>
      </w:r>
      <w:r w:rsidR="005A0945" w:rsidRPr="00BA6979">
        <w:t>c</w:t>
      </w:r>
      <w:r w:rsidR="00CF7BEF" w:rsidRPr="00BA6979">
        <w:t xml:space="preserve">oncept </w:t>
      </w:r>
      <w:r w:rsidR="005A0945" w:rsidRPr="00BA6979">
        <w:t>n</w:t>
      </w:r>
      <w:r w:rsidR="00CF7BEF" w:rsidRPr="00BA6979">
        <w:t>ote</w:t>
      </w:r>
      <w:r w:rsidR="00CB6E77" w:rsidRPr="00BA6979">
        <w:t>s</w:t>
      </w:r>
      <w:bookmarkEnd w:id="55"/>
    </w:p>
    <w:p w14:paraId="6923EB3C" w14:textId="538F0DC9" w:rsidR="008B4806" w:rsidRDefault="008B4806" w:rsidP="00F36C74">
      <w:pPr>
        <w:spacing w:after="120" w:line="240" w:lineRule="atLeast"/>
      </w:pPr>
      <w:r w:rsidRPr="00807DAF">
        <w:t xml:space="preserve">An information session on this </w:t>
      </w:r>
      <w:r w:rsidR="005A0945">
        <w:t>c</w:t>
      </w:r>
      <w:r w:rsidR="001D0C7B" w:rsidRPr="00807DAF">
        <w:t xml:space="preserve">all for </w:t>
      </w:r>
      <w:r w:rsidR="005A0945">
        <w:t>p</w:t>
      </w:r>
      <w:r w:rsidR="001D0C7B" w:rsidRPr="00807DAF">
        <w:t>roposals</w:t>
      </w:r>
      <w:r w:rsidRPr="00807DAF">
        <w:t xml:space="preserve"> will be held on</w:t>
      </w:r>
      <w:r w:rsidR="00CE18D2" w:rsidRPr="00731E00">
        <w:rPr>
          <w:snapToGrid w:val="0"/>
        </w:rPr>
        <w:t xml:space="preserve"> </w:t>
      </w:r>
      <w:r w:rsidR="00250D7E" w:rsidRPr="00731E00">
        <w:rPr>
          <w:b/>
          <w:bCs/>
          <w:snapToGrid w:val="0"/>
          <w:lang w:val="uk-UA"/>
        </w:rPr>
        <w:t>9</w:t>
      </w:r>
      <w:r w:rsidR="00CE18D2" w:rsidRPr="00731E00">
        <w:rPr>
          <w:b/>
          <w:bCs/>
          <w:snapToGrid w:val="0"/>
        </w:rPr>
        <w:t xml:space="preserve"> December 2025,</w:t>
      </w:r>
      <w:r w:rsidR="00CE18D2" w:rsidRPr="00731E00">
        <w:rPr>
          <w:snapToGrid w:val="0"/>
        </w:rPr>
        <w:t xml:space="preserve"> </w:t>
      </w:r>
      <w:r w:rsidRPr="00807DAF">
        <w:t xml:space="preserve">at </w:t>
      </w:r>
      <w:r w:rsidR="00096733" w:rsidRPr="00731E00">
        <w:rPr>
          <w:b/>
          <w:bCs/>
        </w:rPr>
        <w:t>10:30 Kyiv time</w:t>
      </w:r>
      <w:r w:rsidR="00CE18D2" w:rsidRPr="00731E00">
        <w:rPr>
          <w:b/>
          <w:bCs/>
        </w:rPr>
        <w:t xml:space="preserve"> online</w:t>
      </w:r>
      <w:r w:rsidR="00593829" w:rsidRPr="00731E00">
        <w:t>.</w:t>
      </w:r>
    </w:p>
    <w:p w14:paraId="4408A7AA" w14:textId="7E96466D" w:rsidR="00731E00" w:rsidRPr="00807DAF" w:rsidRDefault="00731E00" w:rsidP="00F36C74">
      <w:pPr>
        <w:spacing w:after="120" w:line="240" w:lineRule="atLeast"/>
      </w:pPr>
      <w:r w:rsidRPr="00731E00">
        <w:rPr>
          <w:b/>
          <w:bCs/>
          <w:lang w:val="en-US"/>
        </w:rPr>
        <w:t>The registration form</w:t>
      </w:r>
      <w:r w:rsidRPr="00731E00">
        <w:rPr>
          <w:lang w:val="en-US"/>
        </w:rPr>
        <w:t xml:space="preserve"> is</w:t>
      </w:r>
      <w:r>
        <w:rPr>
          <w:lang w:val="en-US"/>
        </w:rPr>
        <w:t xml:space="preserve"> </w:t>
      </w:r>
      <w:r w:rsidRPr="00731E00">
        <w:rPr>
          <w:lang w:val="en-US"/>
        </w:rPr>
        <w:t xml:space="preserve">accessible at </w:t>
      </w:r>
      <w:hyperlink r:id="rId25" w:history="1">
        <w:r w:rsidRPr="00731E00">
          <w:rPr>
            <w:rStyle w:val="Hyperlink"/>
            <w:lang w:val="en-US"/>
          </w:rPr>
          <w:t>https://us06web.zoom.us/webinar/register/WN_7H1zEe-7QI-Gfek71NW8NQ</w:t>
        </w:r>
      </w:hyperlink>
      <w:r w:rsidRPr="00731E00">
        <w:rPr>
          <w:lang w:val="en-US"/>
        </w:rPr>
        <w:t>.</w:t>
      </w:r>
    </w:p>
    <w:p w14:paraId="22045176" w14:textId="77777777" w:rsidR="008B4806" w:rsidRPr="00BA6979" w:rsidRDefault="008B4806" w:rsidP="00F36C74">
      <w:pPr>
        <w:spacing w:after="120" w:line="240" w:lineRule="atLeast"/>
      </w:pPr>
      <w:r w:rsidRPr="00BA6979">
        <w:t xml:space="preserve">Questions may be sent by e-mail no later than 21 days before the deadline for the </w:t>
      </w:r>
      <w:r w:rsidR="00934768" w:rsidRPr="00BA6979">
        <w:t>submission</w:t>
      </w:r>
      <w:r w:rsidRPr="00BA6979">
        <w:t xml:space="preserve"> of </w:t>
      </w:r>
      <w:r w:rsidR="005A0945" w:rsidRPr="00BA6979">
        <w:t>c</w:t>
      </w:r>
      <w:r w:rsidRPr="00BA6979">
        <w:t xml:space="preserve">oncept </w:t>
      </w:r>
      <w:r w:rsidR="005A0945" w:rsidRPr="00BA6979">
        <w:t>n</w:t>
      </w:r>
      <w:r w:rsidRPr="00BA6979">
        <w:t>otes to the address(es)</w:t>
      </w:r>
      <w:r w:rsidR="00023576" w:rsidRPr="00BA6979">
        <w:t xml:space="preserve"> below</w:t>
      </w:r>
      <w:r w:rsidRPr="00BA6979">
        <w:t xml:space="preserve">, indicating clearly the reference of the </w:t>
      </w:r>
      <w:r w:rsidR="005A0945" w:rsidRPr="00BA6979">
        <w:t>c</w:t>
      </w:r>
      <w:r w:rsidR="001D0C7B" w:rsidRPr="00BA6979">
        <w:t xml:space="preserve">all for </w:t>
      </w:r>
      <w:r w:rsidR="005A0945" w:rsidRPr="00BA6979">
        <w:t>p</w:t>
      </w:r>
      <w:r w:rsidR="001D0C7B" w:rsidRPr="00BA6979">
        <w:t>roposals</w:t>
      </w:r>
      <w:r w:rsidRPr="00BA6979">
        <w:t>:</w:t>
      </w:r>
    </w:p>
    <w:p w14:paraId="1AB5EE97" w14:textId="77777777" w:rsidR="008B4806" w:rsidRPr="00B723AF" w:rsidRDefault="008B4806" w:rsidP="00F36C74">
      <w:pPr>
        <w:spacing w:after="120" w:line="240" w:lineRule="atLeast"/>
        <w:ind w:left="567"/>
      </w:pPr>
      <w:r w:rsidRPr="00BA6979">
        <w:t xml:space="preserve">E-mail address: </w:t>
      </w:r>
      <w:r w:rsidR="00ED623A" w:rsidRPr="00B723AF">
        <w:rPr>
          <w:b/>
          <w:noProof/>
          <w:szCs w:val="22"/>
        </w:rPr>
        <w:t>DELEGATION-UKRAINE-CIVILSOCIETY@eeas.europa.eu</w:t>
      </w:r>
    </w:p>
    <w:p w14:paraId="508EDEB6" w14:textId="77777777" w:rsidR="002128D0" w:rsidRPr="00BA6979" w:rsidRDefault="002128D0" w:rsidP="00F36C74">
      <w:pPr>
        <w:spacing w:after="120" w:line="240" w:lineRule="atLeast"/>
      </w:pPr>
      <w:r w:rsidRPr="00BA6979">
        <w:t xml:space="preserve">The </w:t>
      </w:r>
      <w:r w:rsidR="00AA0B45" w:rsidRPr="00BA6979">
        <w:t>c</w:t>
      </w:r>
      <w:r w:rsidRPr="00BA6979">
        <w:t xml:space="preserve">ontracting </w:t>
      </w:r>
      <w:r w:rsidR="00AA0B45" w:rsidRPr="00BA6979">
        <w:t>a</w:t>
      </w:r>
      <w:r w:rsidRPr="00BA6979">
        <w:t>uthority has no obligation to provide clarifications</w:t>
      </w:r>
      <w:r w:rsidR="007C4720" w:rsidRPr="00BA6979">
        <w:t xml:space="preserve"> to questions received </w:t>
      </w:r>
      <w:r w:rsidRPr="00BA6979">
        <w:t>after this date.</w:t>
      </w:r>
    </w:p>
    <w:p w14:paraId="1402CD61" w14:textId="77777777" w:rsidR="008B4806" w:rsidRPr="00BA6979" w:rsidRDefault="008B4806" w:rsidP="00F36C74">
      <w:pPr>
        <w:spacing w:after="120" w:line="240" w:lineRule="atLeast"/>
      </w:pPr>
      <w:r w:rsidRPr="00BA6979">
        <w:t xml:space="preserve">Replies will be given no later than 11 days before the deadline for </w:t>
      </w:r>
      <w:r w:rsidR="00CA6D19" w:rsidRPr="00BA6979">
        <w:t xml:space="preserve">submission </w:t>
      </w:r>
      <w:r w:rsidRPr="00BA6979">
        <w:t xml:space="preserve">of </w:t>
      </w:r>
      <w:r w:rsidR="005A0945" w:rsidRPr="00BA6979">
        <w:t>c</w:t>
      </w:r>
      <w:r w:rsidRPr="00BA6979">
        <w:t xml:space="preserve">oncept </w:t>
      </w:r>
      <w:r w:rsidR="005A0945" w:rsidRPr="00BA6979">
        <w:t>n</w:t>
      </w:r>
      <w:r w:rsidRPr="00BA6979">
        <w:t xml:space="preserve">otes. </w:t>
      </w:r>
    </w:p>
    <w:p w14:paraId="4A8DACDF" w14:textId="77777777" w:rsidR="008B4806" w:rsidRPr="00BA6979" w:rsidRDefault="00023576" w:rsidP="00F36C74">
      <w:pPr>
        <w:spacing w:after="120" w:line="240" w:lineRule="atLeast"/>
      </w:pPr>
      <w:r w:rsidRPr="00BA6979">
        <w:t>To ensure</w:t>
      </w:r>
      <w:r w:rsidR="008B4806" w:rsidRPr="00BA6979">
        <w:t xml:space="preserve"> equal treatment of applicants, the </w:t>
      </w:r>
      <w:r w:rsidR="005A0945" w:rsidRPr="00BA6979">
        <w:t>c</w:t>
      </w:r>
      <w:r w:rsidR="008B4806" w:rsidRPr="00BA6979">
        <w:t xml:space="preserve">ontracting </w:t>
      </w:r>
      <w:r w:rsidR="005A0945" w:rsidRPr="00BA6979">
        <w:t>a</w:t>
      </w:r>
      <w:r w:rsidR="008B4806" w:rsidRPr="00BA6979">
        <w:t xml:space="preserve">uthority cannot give a prior opinion on the eligibility of </w:t>
      </w:r>
      <w:r w:rsidR="00B114D9" w:rsidRPr="00BA6979">
        <w:t>lead a</w:t>
      </w:r>
      <w:r w:rsidR="008B4806" w:rsidRPr="00BA6979">
        <w:t>pplicant</w:t>
      </w:r>
      <w:r w:rsidR="009901E5" w:rsidRPr="00BA6979">
        <w:t>s</w:t>
      </w:r>
      <w:r w:rsidR="008B4806" w:rsidRPr="00BA6979">
        <w:t xml:space="preserve">, </w:t>
      </w:r>
      <w:r w:rsidR="005A0945" w:rsidRPr="00BA6979">
        <w:t>c</w:t>
      </w:r>
      <w:r w:rsidR="00C662CC" w:rsidRPr="00BA6979">
        <w:t xml:space="preserve">o-applicants, </w:t>
      </w:r>
      <w:r w:rsidR="009901E5" w:rsidRPr="00BA6979">
        <w:t>affiliated entity(</w:t>
      </w:r>
      <w:proofErr w:type="spellStart"/>
      <w:r w:rsidR="009901E5" w:rsidRPr="00BA6979">
        <w:t>ies</w:t>
      </w:r>
      <w:proofErr w:type="spellEnd"/>
      <w:r w:rsidR="009901E5" w:rsidRPr="00BA6979">
        <w:t>)</w:t>
      </w:r>
      <w:r w:rsidR="008B12C7" w:rsidRPr="00BA6979">
        <w:t>,</w:t>
      </w:r>
      <w:r w:rsidR="008B4806" w:rsidRPr="00BA6979">
        <w:t xml:space="preserve"> </w:t>
      </w:r>
      <w:r w:rsidR="0068216F" w:rsidRPr="00BA6979">
        <w:t>an</w:t>
      </w:r>
      <w:r w:rsidR="008B4806" w:rsidRPr="00BA6979">
        <w:t xml:space="preserve"> action</w:t>
      </w:r>
      <w:r w:rsidR="008B12C7" w:rsidRPr="00BA6979">
        <w:t xml:space="preserve"> or specific activities</w:t>
      </w:r>
      <w:r w:rsidR="008B4806" w:rsidRPr="00BA6979">
        <w:t>.</w:t>
      </w:r>
    </w:p>
    <w:p w14:paraId="382DCE6A" w14:textId="77777777" w:rsidR="002128D0" w:rsidRDefault="00C52EA8" w:rsidP="00F36C74">
      <w:pPr>
        <w:spacing w:after="120" w:line="240" w:lineRule="atLeast"/>
      </w:pPr>
      <w:r w:rsidRPr="00BA6979">
        <w:t xml:space="preserve">No individual replies will be given to questions. All questions and answers as well as other important notices to applicants during the course of the evaluation procedure </w:t>
      </w:r>
      <w:r w:rsidR="005649CD" w:rsidRPr="00BA6979">
        <w:t xml:space="preserve">will </w:t>
      </w:r>
      <w:r w:rsidR="008B4806" w:rsidRPr="00BA6979">
        <w:t>be published on the</w:t>
      </w:r>
      <w:r w:rsidR="001249D9" w:rsidRPr="00BA6979">
        <w:t xml:space="preserve"> </w:t>
      </w:r>
      <w:r w:rsidR="003956DF" w:rsidRPr="00BA6979">
        <w:t>website</w:t>
      </w:r>
      <w:r w:rsidR="001249D9" w:rsidRPr="00BA6979">
        <w:t xml:space="preserve"> </w:t>
      </w:r>
      <w:r w:rsidR="00832ACF">
        <w:rPr>
          <w:szCs w:val="22"/>
        </w:rPr>
        <w:t xml:space="preserve">where the call was published: website </w:t>
      </w:r>
      <w:r w:rsidR="001249D9" w:rsidRPr="00BA6979">
        <w:t>of DG International</w:t>
      </w:r>
      <w:r w:rsidR="00967B34">
        <w:t xml:space="preserve"> Partnerships</w:t>
      </w:r>
      <w:r w:rsidR="003956DF" w:rsidRPr="00BA6979">
        <w:t xml:space="preserve"> </w:t>
      </w:r>
      <w:hyperlink r:id="rId26" w:history="1">
        <w:r w:rsidR="00AD295A" w:rsidRPr="009C76F9">
          <w:rPr>
            <w:rStyle w:val="Hyperlink"/>
            <w:szCs w:val="22"/>
          </w:rPr>
          <w:t>https://ec.europa.eu/international-partnerships/home_fr</w:t>
        </w:r>
      </w:hyperlink>
      <w:r w:rsidR="00AD295A">
        <w:rPr>
          <w:szCs w:val="22"/>
        </w:rPr>
        <w:t xml:space="preserve"> </w:t>
      </w:r>
      <w:r w:rsidR="00E546B4">
        <w:rPr>
          <w:szCs w:val="22"/>
        </w:rPr>
        <w:t>and/</w:t>
      </w:r>
      <w:r w:rsidR="00832ACF" w:rsidRPr="00232301">
        <w:rPr>
          <w:szCs w:val="22"/>
        </w:rPr>
        <w:t xml:space="preserve">or </w:t>
      </w:r>
      <w:r w:rsidR="00933F69" w:rsidRPr="00933F69">
        <w:t xml:space="preserve">Funding &amp; </w:t>
      </w:r>
      <w:r w:rsidR="00933F69">
        <w:t>T</w:t>
      </w:r>
      <w:r w:rsidR="00832ACF" w:rsidRPr="00232301">
        <w:t>ender opportunities (</w:t>
      </w:r>
      <w:proofErr w:type="spellStart"/>
      <w:r w:rsidR="00832ACF" w:rsidRPr="00232301">
        <w:t>F&amp;T</w:t>
      </w:r>
      <w:proofErr w:type="spellEnd"/>
      <w:r w:rsidR="00832ACF" w:rsidRPr="00232301">
        <w:t xml:space="preserve"> Portal)</w:t>
      </w:r>
      <w:r w:rsidR="00832ACF" w:rsidRPr="00832ACF">
        <w:rPr>
          <w:szCs w:val="22"/>
          <w:u w:val="single"/>
        </w:rPr>
        <w:t xml:space="preserve"> </w:t>
      </w:r>
      <w:hyperlink r:id="rId27" w:history="1">
        <w:r w:rsidR="00832ACF" w:rsidRPr="00832ACF">
          <w:rPr>
            <w:rStyle w:val="Hyperlink"/>
            <w:szCs w:val="22"/>
          </w:rPr>
          <w:t>https://ec.europa.eu/info/funding-</w:t>
        </w:r>
        <w:r w:rsidR="00832ACF" w:rsidRPr="00832ACF">
          <w:rPr>
            <w:rStyle w:val="Hyperlink"/>
            <w:szCs w:val="22"/>
          </w:rPr>
          <w:lastRenderedPageBreak/>
          <w:t>tenders/opportunities/portal/screen/home</w:t>
        </w:r>
      </w:hyperlink>
      <w:r w:rsidR="001A3322" w:rsidRPr="00096733">
        <w:t>,</w:t>
      </w:r>
      <w:r w:rsidR="001A3322" w:rsidRPr="00BA6979">
        <w:t xml:space="preserve"> as the need arises</w:t>
      </w:r>
      <w:r w:rsidR="008B4806" w:rsidRPr="00BA6979">
        <w:t>.</w:t>
      </w:r>
      <w:r w:rsidR="002128D0" w:rsidRPr="00BA6979">
        <w:t xml:space="preserve"> It is therefore </w:t>
      </w:r>
      <w:r w:rsidR="005649CD" w:rsidRPr="00BA6979">
        <w:t>advisable</w:t>
      </w:r>
      <w:r w:rsidR="002128D0" w:rsidRPr="00BA6979">
        <w:t xml:space="preserve"> to consult the abovementioned website</w:t>
      </w:r>
      <w:r w:rsidR="00523F64">
        <w:t>(s)</w:t>
      </w:r>
      <w:r w:rsidR="005649CD" w:rsidRPr="00BA6979">
        <w:t xml:space="preserve"> regularly</w:t>
      </w:r>
      <w:r w:rsidR="002128D0" w:rsidRPr="00BA6979">
        <w:t xml:space="preserve"> </w:t>
      </w:r>
      <w:proofErr w:type="gramStart"/>
      <w:r w:rsidR="002128D0" w:rsidRPr="00BA6979">
        <w:t>in order to</w:t>
      </w:r>
      <w:proofErr w:type="gramEnd"/>
      <w:r w:rsidR="002128D0" w:rsidRPr="00BA6979">
        <w:t xml:space="preserve"> be informed of the questions and answers published</w:t>
      </w:r>
      <w:r w:rsidR="002128D0" w:rsidRPr="00B723AF">
        <w:t>.</w:t>
      </w:r>
    </w:p>
    <w:p w14:paraId="50548575" w14:textId="77777777" w:rsidR="001A27A5" w:rsidRDefault="001A27A5" w:rsidP="00F36C74">
      <w:pPr>
        <w:spacing w:after="120" w:line="240" w:lineRule="atLeast"/>
      </w:pPr>
      <w:r w:rsidRPr="00FE05D4">
        <w:t xml:space="preserve">All questions related to registration in </w:t>
      </w:r>
      <w:proofErr w:type="spellStart"/>
      <w:r w:rsidRPr="00FE05D4">
        <w:t>PADOR</w:t>
      </w:r>
      <w:proofErr w:type="spellEnd"/>
      <w:r w:rsidRPr="00FE05D4">
        <w:t xml:space="preserve"> or the online submission via PROSPECT should be addressed to the IT helpdesk at</w:t>
      </w:r>
      <w:r w:rsidR="005E4863">
        <w:t xml:space="preserve"> </w:t>
      </w:r>
      <w:hyperlink r:id="rId28" w:history="1">
        <w:r w:rsidR="005E4863" w:rsidRPr="005E4863">
          <w:rPr>
            <w:rStyle w:val="Hyperlink"/>
            <w:lang w:val="en-IE"/>
          </w:rPr>
          <w:t>ec-external-relations-application-support@ec.europa.eu</w:t>
        </w:r>
      </w:hyperlink>
      <w:r w:rsidR="001F08AD">
        <w:rPr>
          <w:lang w:val="en-IE"/>
        </w:rPr>
        <w:t xml:space="preserve"> </w:t>
      </w:r>
      <w:hyperlink r:id="rId29" w:history="1">
        <w:r w:rsidR="003B2CA1" w:rsidRPr="003B2CA1">
          <w:rPr>
            <w:rStyle w:val="Hyperlink"/>
          </w:rPr>
          <w:t>mailto:</w:t>
        </w:r>
      </w:hyperlink>
      <w:r>
        <w:rPr>
          <w:b/>
        </w:rPr>
        <w:t>via the online support form in PROSPECT:</w:t>
      </w:r>
      <w:r>
        <w:t xml:space="preserve"> Please note that the working languages of the IT support are English French and Spanish. Therefore</w:t>
      </w:r>
      <w:r w:rsidR="00BC4CCE">
        <w:t>,</w:t>
      </w:r>
      <w:r>
        <w:t xml:space="preserve"> users are invited to send their questions in English, French or Spanish should they wish to benefit from an optimum response time.</w:t>
      </w:r>
    </w:p>
    <w:p w14:paraId="5590C83F" w14:textId="77777777" w:rsidR="00E80008" w:rsidRPr="00807DAF" w:rsidRDefault="00E80008" w:rsidP="00F36C74">
      <w:pPr>
        <w:spacing w:after="120" w:line="240" w:lineRule="atLeast"/>
      </w:pPr>
      <w:r w:rsidRPr="00BA6979">
        <w:rPr>
          <w:snapToGrid w:val="0"/>
          <w:szCs w:val="22"/>
        </w:rPr>
        <w:t xml:space="preserve">Please note that the contracting authority may decide to cancel the call for proposals procedure at any stage according to the conditions set out in Section 6.5.9 of the </w:t>
      </w:r>
      <w:r w:rsidR="009556E4">
        <w:rPr>
          <w:snapToGrid w:val="0"/>
          <w:szCs w:val="22"/>
        </w:rPr>
        <w:t>practical guide</w:t>
      </w:r>
      <w:r w:rsidR="0090348E">
        <w:rPr>
          <w:snapToGrid w:val="0"/>
          <w:szCs w:val="22"/>
        </w:rPr>
        <w:t>.</w:t>
      </w:r>
    </w:p>
    <w:p w14:paraId="2E5F048F" w14:textId="77777777" w:rsidR="008B4806" w:rsidRPr="00BA6979" w:rsidRDefault="00E64637" w:rsidP="00F61F60">
      <w:pPr>
        <w:pStyle w:val="Guidelines3"/>
        <w:numPr>
          <w:ilvl w:val="2"/>
          <w:numId w:val="6"/>
        </w:numPr>
      </w:pPr>
      <w:bookmarkStart w:id="56" w:name="_Toc185257682"/>
      <w:bookmarkStart w:id="57" w:name="_Toc125454356"/>
      <w:r w:rsidRPr="00BA6979">
        <w:t xml:space="preserve">Full </w:t>
      </w:r>
      <w:r w:rsidR="005A0945" w:rsidRPr="00BA6979">
        <w:t>a</w:t>
      </w:r>
      <w:r w:rsidR="008B4806" w:rsidRPr="00BA6979">
        <w:t>pplication</w:t>
      </w:r>
      <w:r w:rsidR="005A0945" w:rsidRPr="00BA6979">
        <w:t>s</w:t>
      </w:r>
      <w:bookmarkEnd w:id="56"/>
      <w:r w:rsidR="008B4806" w:rsidRPr="00BA6979">
        <w:t xml:space="preserve"> </w:t>
      </w:r>
      <w:bookmarkEnd w:id="57"/>
    </w:p>
    <w:p w14:paraId="0E3EBC77" w14:textId="77777777" w:rsidR="008B4806" w:rsidRPr="00BA6979" w:rsidRDefault="00B114D9" w:rsidP="00F36C74">
      <w:pPr>
        <w:spacing w:after="120" w:line="240" w:lineRule="atLeast"/>
        <w:rPr>
          <w:color w:val="000000"/>
        </w:rPr>
      </w:pPr>
      <w:r w:rsidRPr="00BA6979">
        <w:t>Lead a</w:t>
      </w:r>
      <w:r w:rsidR="008B4806" w:rsidRPr="00BA6979">
        <w:t>pplicant</w:t>
      </w:r>
      <w:r w:rsidR="005A0945" w:rsidRPr="00BA6979">
        <w:t>s</w:t>
      </w:r>
      <w:r w:rsidR="008B4806" w:rsidRPr="00BA6979">
        <w:t xml:space="preserve"> invited to submit a full application following </w:t>
      </w:r>
      <w:r w:rsidR="001A3322" w:rsidRPr="00BA6979">
        <w:t>pre-selection of the</w:t>
      </w:r>
      <w:r w:rsidR="005649CD" w:rsidRPr="00BA6979">
        <w:t>ir</w:t>
      </w:r>
      <w:r w:rsidR="001A3322" w:rsidRPr="00BA6979">
        <w:t xml:space="preserve"> </w:t>
      </w:r>
      <w:r w:rsidR="005A0945" w:rsidRPr="00BA6979">
        <w:t>c</w:t>
      </w:r>
      <w:r w:rsidR="001A3322" w:rsidRPr="00BA6979">
        <w:t>on</w:t>
      </w:r>
      <w:r w:rsidR="006E2FAE" w:rsidRPr="00BA6979">
        <w:t>c</w:t>
      </w:r>
      <w:r w:rsidR="001A3322" w:rsidRPr="00BA6979">
        <w:t xml:space="preserve">ept </w:t>
      </w:r>
      <w:r w:rsidR="005A0945" w:rsidRPr="00BA6979">
        <w:t>n</w:t>
      </w:r>
      <w:r w:rsidR="001A3322" w:rsidRPr="00BA6979">
        <w:t xml:space="preserve">ote </w:t>
      </w:r>
      <w:r w:rsidR="008B4806" w:rsidRPr="00BA6979">
        <w:t xml:space="preserve">must do so using </w:t>
      </w:r>
      <w:r w:rsidR="00227148" w:rsidRPr="00BA6979">
        <w:t xml:space="preserve">the </w:t>
      </w:r>
      <w:r w:rsidR="005A0945" w:rsidRPr="00BA6979">
        <w:t xml:space="preserve">grant </w:t>
      </w:r>
      <w:r w:rsidR="008B4806" w:rsidRPr="00BA6979">
        <w:t xml:space="preserve">application form annexed to these </w:t>
      </w:r>
      <w:r w:rsidR="005A0945" w:rsidRPr="00BA6979">
        <w:t>g</w:t>
      </w:r>
      <w:r w:rsidR="008B4806" w:rsidRPr="00BA6979">
        <w:t xml:space="preserve">uidelines (Annex </w:t>
      </w:r>
      <w:r w:rsidR="00227148" w:rsidRPr="00BA6979">
        <w:t>A</w:t>
      </w:r>
      <w:r w:rsidR="00833964" w:rsidRPr="00BA6979">
        <w:t>.2</w:t>
      </w:r>
      <w:r w:rsidR="0098514F">
        <w:t xml:space="preserve"> </w:t>
      </w:r>
      <w:r w:rsidR="0098514F" w:rsidRPr="0098514F">
        <w:t>– Grant application form – Full application).</w:t>
      </w:r>
      <w:r w:rsidR="008B4806" w:rsidRPr="00BA6979">
        <w:t xml:space="preserve">). </w:t>
      </w:r>
      <w:r w:rsidRPr="00BA6979">
        <w:t>Lead a</w:t>
      </w:r>
      <w:r w:rsidR="008B4806" w:rsidRPr="00BA6979">
        <w:t>pplicants should</w:t>
      </w:r>
      <w:r w:rsidR="009901E5" w:rsidRPr="00BA6979">
        <w:t xml:space="preserve"> then</w:t>
      </w:r>
      <w:r w:rsidR="008B4806" w:rsidRPr="00BA6979">
        <w:t xml:space="preserve"> keep strictly to the format of the </w:t>
      </w:r>
      <w:r w:rsidR="005A0945" w:rsidRPr="00BA6979">
        <w:t xml:space="preserve">grant </w:t>
      </w:r>
      <w:r w:rsidR="008B4806" w:rsidRPr="00BA6979">
        <w:t>application</w:t>
      </w:r>
      <w:r w:rsidR="001A3322" w:rsidRPr="00BA6979">
        <w:t xml:space="preserve"> form</w:t>
      </w:r>
      <w:r w:rsidR="008B4806" w:rsidRPr="00BA6979">
        <w:t xml:space="preserve"> and fill in the paragraphs and pages in order.</w:t>
      </w:r>
    </w:p>
    <w:p w14:paraId="17D0E4E5" w14:textId="77777777" w:rsidR="00B723AF" w:rsidRPr="00BA6979" w:rsidRDefault="00B723AF" w:rsidP="00F36C74">
      <w:pPr>
        <w:spacing w:after="120" w:line="240" w:lineRule="atLeast"/>
        <w:rPr>
          <w:color w:val="000000"/>
        </w:rPr>
      </w:pPr>
      <w:r w:rsidRPr="00BA6979">
        <w:rPr>
          <w:color w:val="000000"/>
        </w:rPr>
        <w:t>The elements outlined in the concept note may not be modified in the full application</w:t>
      </w:r>
      <w:r w:rsidR="00894779">
        <w:rPr>
          <w:color w:val="000000"/>
        </w:rPr>
        <w:t xml:space="preserve">, </w:t>
      </w:r>
      <w:r w:rsidR="00894779" w:rsidRPr="00894779">
        <w:rPr>
          <w:color w:val="000000"/>
        </w:rPr>
        <w:t>except for the changes described below:</w:t>
      </w:r>
      <w:r w:rsidRPr="00BA6979">
        <w:rPr>
          <w:color w:val="000000"/>
        </w:rPr>
        <w:t xml:space="preserve"> </w:t>
      </w:r>
    </w:p>
    <w:p w14:paraId="43E9D97E" w14:textId="77777777" w:rsidR="00B723AF" w:rsidRPr="00BA6979" w:rsidRDefault="00B723AF" w:rsidP="00F61F60">
      <w:pPr>
        <w:numPr>
          <w:ilvl w:val="0"/>
          <w:numId w:val="24"/>
        </w:numPr>
        <w:spacing w:after="120" w:line="240" w:lineRule="atLeast"/>
        <w:ind w:left="709" w:hanging="425"/>
        <w:rPr>
          <w:color w:val="000000"/>
        </w:rPr>
      </w:pPr>
      <w:r w:rsidRPr="00BA6979">
        <w:rPr>
          <w:color w:val="000000"/>
        </w:rPr>
        <w:t>The EU contribution may not vary from the initial estimate by more than 20</w:t>
      </w:r>
      <w:r w:rsidR="00AA456E">
        <w:rPr>
          <w:color w:val="000000"/>
        </w:rPr>
        <w:t xml:space="preserve"> </w:t>
      </w:r>
      <w:r w:rsidRPr="00BA6979">
        <w:rPr>
          <w:color w:val="000000"/>
        </w:rPr>
        <w:t>%. Lead applicants are free to adapt the percentage of co-financing required within the minimum and maximum amount and percentages of co-financing, as laid down in these guidelines in Section 1.3</w:t>
      </w:r>
      <w:r w:rsidR="001F08AD">
        <w:rPr>
          <w:color w:val="000000"/>
        </w:rPr>
        <w:t xml:space="preserve"> </w:t>
      </w:r>
      <w:bookmarkStart w:id="58" w:name="_Hlk163813525"/>
      <w:r w:rsidR="001F08AD">
        <w:t>(only applicable in the case of grants taking the form, totally or partially, of reimbursement of costs)</w:t>
      </w:r>
      <w:bookmarkEnd w:id="58"/>
      <w:r w:rsidRPr="00BA6979">
        <w:rPr>
          <w:color w:val="000000"/>
        </w:rPr>
        <w:t>.</w:t>
      </w:r>
      <w:r w:rsidRPr="00BA6979">
        <w:rPr>
          <w:iCs/>
          <w:color w:val="000000"/>
        </w:rPr>
        <w:t xml:space="preserve"> </w:t>
      </w:r>
    </w:p>
    <w:p w14:paraId="7D49885E" w14:textId="77777777" w:rsidR="00B723AF" w:rsidRPr="00BA6979" w:rsidRDefault="00B723AF" w:rsidP="00F61F60">
      <w:pPr>
        <w:numPr>
          <w:ilvl w:val="0"/>
          <w:numId w:val="24"/>
        </w:numPr>
        <w:spacing w:after="120" w:line="240" w:lineRule="atLeast"/>
        <w:ind w:left="709" w:hanging="425"/>
        <w:rPr>
          <w:color w:val="000000"/>
        </w:rPr>
      </w:pPr>
      <w:r w:rsidRPr="00BA6979">
        <w:rPr>
          <w:iCs/>
          <w:color w:val="000000"/>
        </w:rPr>
        <w:t>The lead applicant may add, remove or replace one or more co-applicant(s) or affiliated entity(</w:t>
      </w:r>
      <w:proofErr w:type="spellStart"/>
      <w:r w:rsidRPr="00BA6979">
        <w:rPr>
          <w:iCs/>
          <w:color w:val="000000"/>
        </w:rPr>
        <w:t>ies</w:t>
      </w:r>
      <w:proofErr w:type="spellEnd"/>
      <w:r w:rsidRPr="00BA6979">
        <w:rPr>
          <w:iCs/>
          <w:color w:val="000000"/>
        </w:rPr>
        <w:t>)</w:t>
      </w:r>
      <w:r w:rsidR="0090348E">
        <w:rPr>
          <w:iCs/>
          <w:color w:val="000000"/>
        </w:rPr>
        <w:t xml:space="preserve"> </w:t>
      </w:r>
      <w:r w:rsidRPr="00BA6979">
        <w:rPr>
          <w:iCs/>
          <w:color w:val="000000"/>
        </w:rPr>
        <w:t xml:space="preserve">only in duly justified cases. </w:t>
      </w:r>
    </w:p>
    <w:p w14:paraId="090176F0" w14:textId="77777777" w:rsidR="00B723AF" w:rsidRPr="00BA6979" w:rsidRDefault="00B723AF" w:rsidP="00F61F60">
      <w:pPr>
        <w:numPr>
          <w:ilvl w:val="0"/>
          <w:numId w:val="24"/>
        </w:numPr>
        <w:spacing w:after="120" w:line="240" w:lineRule="atLeast"/>
        <w:ind w:left="709" w:hanging="425"/>
        <w:rPr>
          <w:color w:val="000000"/>
        </w:rPr>
      </w:pPr>
      <w:r w:rsidRPr="00BA6979">
        <w:rPr>
          <w:iCs/>
          <w:color w:val="000000"/>
        </w:rPr>
        <w:t xml:space="preserve">The lead applicant may adjust the duration of the action if unforeseen circumstances </w:t>
      </w:r>
      <w:r w:rsidR="001F08AD">
        <w:rPr>
          <w:iCs/>
          <w:color w:val="000000"/>
        </w:rPr>
        <w:t>beyond</w:t>
      </w:r>
      <w:r w:rsidRPr="00BA6979">
        <w:rPr>
          <w:iCs/>
          <w:color w:val="000000"/>
        </w:rPr>
        <w:t xml:space="preserve"> the </w:t>
      </w:r>
      <w:proofErr w:type="gramStart"/>
      <w:r w:rsidRPr="00BA6979">
        <w:rPr>
          <w:iCs/>
          <w:color w:val="000000"/>
        </w:rPr>
        <w:t>applicants</w:t>
      </w:r>
      <w:proofErr w:type="gramEnd"/>
      <w:r w:rsidRPr="00BA6979">
        <w:rPr>
          <w:iCs/>
          <w:color w:val="000000"/>
        </w:rPr>
        <w:t xml:space="preserve"> </w:t>
      </w:r>
      <w:r w:rsidR="001F08AD">
        <w:rPr>
          <w:iCs/>
          <w:color w:val="000000"/>
        </w:rPr>
        <w:t xml:space="preserve">control </w:t>
      </w:r>
      <w:r w:rsidRPr="00BA6979">
        <w:rPr>
          <w:iCs/>
          <w:color w:val="000000"/>
        </w:rPr>
        <w:t>have taken place following the submission of the concept note and require such adaptation (risk of action not being carried out). In such cases</w:t>
      </w:r>
      <w:r w:rsidR="00AD295A">
        <w:rPr>
          <w:iCs/>
          <w:color w:val="000000"/>
        </w:rPr>
        <w:t>,</w:t>
      </w:r>
      <w:r w:rsidRPr="00BA6979">
        <w:rPr>
          <w:iCs/>
          <w:color w:val="000000"/>
        </w:rPr>
        <w:t xml:space="preserve"> the duration must remain within the limits imposed by the guidelines for applicants. </w:t>
      </w:r>
    </w:p>
    <w:p w14:paraId="183C812C" w14:textId="77777777" w:rsidR="00B723AF" w:rsidRPr="00BA6979" w:rsidRDefault="00B723AF" w:rsidP="00F36C74">
      <w:pPr>
        <w:spacing w:after="120" w:line="240" w:lineRule="atLeast"/>
        <w:rPr>
          <w:b/>
          <w:color w:val="000000"/>
        </w:rPr>
      </w:pPr>
      <w:r w:rsidRPr="00BA6979">
        <w:rPr>
          <w:b/>
          <w:iCs/>
          <w:color w:val="000000"/>
        </w:rPr>
        <w:t>An explanation/justification of the relevant replacements/adjustments shall be included in Annex A.2</w:t>
      </w:r>
      <w:r w:rsidR="00465AA9">
        <w:rPr>
          <w:b/>
          <w:iCs/>
          <w:color w:val="000000"/>
        </w:rPr>
        <w:t xml:space="preserve"> </w:t>
      </w:r>
      <w:r w:rsidR="00AD295A">
        <w:rPr>
          <w:b/>
          <w:iCs/>
          <w:color w:val="000000"/>
        </w:rPr>
        <w:t>– Instructions</w:t>
      </w:r>
      <w:r w:rsidR="00465AA9" w:rsidRPr="007B1B61">
        <w:rPr>
          <w:b/>
          <w:iCs/>
          <w:color w:val="000000"/>
        </w:rPr>
        <w:t xml:space="preserve"> for drafting </w:t>
      </w:r>
      <w:r w:rsidR="00465AA9">
        <w:rPr>
          <w:b/>
          <w:iCs/>
          <w:color w:val="000000"/>
        </w:rPr>
        <w:t>the Full Application, section 2.1.1, point viii.</w:t>
      </w:r>
      <w:r w:rsidR="002421FF">
        <w:rPr>
          <w:b/>
          <w:iCs/>
          <w:color w:val="000000"/>
        </w:rPr>
        <w:t xml:space="preserve"> </w:t>
      </w:r>
      <w:r w:rsidRPr="00BA6979">
        <w:rPr>
          <w:b/>
          <w:iCs/>
          <w:color w:val="000000"/>
        </w:rPr>
        <w:t xml:space="preserve">Should the explanation/justification not be accepted by the </w:t>
      </w:r>
      <w:r w:rsidR="00211ADF">
        <w:rPr>
          <w:b/>
          <w:iCs/>
          <w:color w:val="000000"/>
        </w:rPr>
        <w:t>e</w:t>
      </w:r>
      <w:r w:rsidRPr="00BA6979">
        <w:rPr>
          <w:b/>
          <w:iCs/>
          <w:color w:val="000000"/>
        </w:rPr>
        <w:t xml:space="preserve">valuation </w:t>
      </w:r>
      <w:r w:rsidR="00211ADF">
        <w:rPr>
          <w:b/>
          <w:iCs/>
          <w:color w:val="000000"/>
        </w:rPr>
        <w:t>c</w:t>
      </w:r>
      <w:r w:rsidRPr="00BA6979">
        <w:rPr>
          <w:b/>
          <w:iCs/>
          <w:color w:val="000000"/>
        </w:rPr>
        <w:t>ommittee, the proposal may be rejected on that sole basis.</w:t>
      </w:r>
    </w:p>
    <w:p w14:paraId="6434405C" w14:textId="77777777" w:rsidR="00894779" w:rsidRDefault="00B114D9" w:rsidP="00F36C74">
      <w:pPr>
        <w:spacing w:after="120" w:line="240" w:lineRule="atLeast"/>
        <w:rPr>
          <w:color w:val="000000"/>
        </w:rPr>
      </w:pPr>
      <w:bookmarkStart w:id="59" w:name="_Hlk522123599"/>
      <w:r w:rsidRPr="00BA6979">
        <w:rPr>
          <w:color w:val="000000"/>
        </w:rPr>
        <w:t>Lead a</w:t>
      </w:r>
      <w:r w:rsidR="008B4806" w:rsidRPr="00BA6979">
        <w:rPr>
          <w:color w:val="000000"/>
        </w:rPr>
        <w:t xml:space="preserve">pplicants must submit their </w:t>
      </w:r>
      <w:r w:rsidR="00F90A41" w:rsidRPr="00BA6979">
        <w:rPr>
          <w:color w:val="000000"/>
        </w:rPr>
        <w:t xml:space="preserve">full </w:t>
      </w:r>
      <w:r w:rsidR="008B4806" w:rsidRPr="00BA6979">
        <w:rPr>
          <w:color w:val="000000"/>
        </w:rPr>
        <w:t xml:space="preserve">applications in the same language as their </w:t>
      </w:r>
      <w:r w:rsidR="005A0945" w:rsidRPr="00BA6979">
        <w:rPr>
          <w:color w:val="000000"/>
        </w:rPr>
        <w:t>c</w:t>
      </w:r>
      <w:r w:rsidR="008B4806" w:rsidRPr="00BA6979">
        <w:rPr>
          <w:color w:val="000000"/>
        </w:rPr>
        <w:t xml:space="preserve">oncept </w:t>
      </w:r>
      <w:r w:rsidR="005A0945" w:rsidRPr="00BA6979">
        <w:rPr>
          <w:color w:val="000000"/>
        </w:rPr>
        <w:t>n</w:t>
      </w:r>
      <w:r w:rsidR="008B4806" w:rsidRPr="00BA6979">
        <w:rPr>
          <w:color w:val="000000"/>
        </w:rPr>
        <w:t>ote</w:t>
      </w:r>
      <w:r w:rsidR="00F90A41" w:rsidRPr="00BA6979">
        <w:rPr>
          <w:color w:val="000000"/>
        </w:rPr>
        <w:t>s</w:t>
      </w:r>
      <w:r w:rsidR="008B4806" w:rsidRPr="00BA6979">
        <w:rPr>
          <w:color w:val="000000"/>
        </w:rPr>
        <w:t>.</w:t>
      </w:r>
      <w:r w:rsidR="00CA310C" w:rsidRPr="00BA6979">
        <w:rPr>
          <w:color w:val="000000"/>
        </w:rPr>
        <w:t xml:space="preserve"> </w:t>
      </w:r>
    </w:p>
    <w:bookmarkEnd w:id="59"/>
    <w:p w14:paraId="4395FF49" w14:textId="77777777" w:rsidR="003956DF" w:rsidRPr="00BA6979" w:rsidRDefault="003956DF" w:rsidP="00F36C74">
      <w:pPr>
        <w:spacing w:after="120" w:line="240" w:lineRule="atLeast"/>
        <w:rPr>
          <w:color w:val="000000"/>
        </w:rPr>
      </w:pPr>
      <w:r w:rsidRPr="00BA6979">
        <w:t>Please complete the</w:t>
      </w:r>
      <w:r w:rsidR="00227148" w:rsidRPr="00BA6979">
        <w:t xml:space="preserve"> full</w:t>
      </w:r>
      <w:r w:rsidRPr="00BA6979">
        <w:t xml:space="preserve"> application form carefully and as clearly as possible so that it can be assessed properly.</w:t>
      </w:r>
      <w:r w:rsidRPr="00BA6979">
        <w:rPr>
          <w:color w:val="000000"/>
        </w:rPr>
        <w:t xml:space="preserve"> </w:t>
      </w:r>
    </w:p>
    <w:p w14:paraId="6C6F62A4" w14:textId="77777777" w:rsidR="003956DF" w:rsidRPr="00BA6979" w:rsidRDefault="003956DF" w:rsidP="00F36C74">
      <w:pPr>
        <w:spacing w:after="120" w:line="240" w:lineRule="atLeast"/>
        <w:rPr>
          <w:color w:val="000000"/>
        </w:rPr>
      </w:pPr>
      <w:r w:rsidRPr="00BA6979">
        <w:rPr>
          <w:color w:val="000000"/>
        </w:rPr>
        <w:t xml:space="preserve">Any error related to the points listed in the </w:t>
      </w:r>
      <w:r w:rsidR="003A23FE" w:rsidRPr="00BA6979">
        <w:rPr>
          <w:color w:val="000000"/>
        </w:rPr>
        <w:t>c</w:t>
      </w:r>
      <w:r w:rsidRPr="00BA6979">
        <w:rPr>
          <w:color w:val="000000"/>
        </w:rPr>
        <w:t>hecklist (</w:t>
      </w:r>
      <w:r w:rsidR="00964FB0" w:rsidRPr="00BA6979">
        <w:rPr>
          <w:color w:val="000000"/>
        </w:rPr>
        <w:t>Annex A</w:t>
      </w:r>
      <w:r w:rsidR="00F43773" w:rsidRPr="00BA6979">
        <w:rPr>
          <w:color w:val="000000"/>
        </w:rPr>
        <w:t>.</w:t>
      </w:r>
      <w:r w:rsidR="00964FB0" w:rsidRPr="00BA6979">
        <w:rPr>
          <w:color w:val="000000"/>
        </w:rPr>
        <w:t>2</w:t>
      </w:r>
      <w:r w:rsidR="006459C5" w:rsidRPr="00BA6979">
        <w:rPr>
          <w:color w:val="000000"/>
        </w:rPr>
        <w:t xml:space="preserve">, </w:t>
      </w:r>
      <w:r w:rsidR="00F43773" w:rsidRPr="00BA6979">
        <w:rPr>
          <w:color w:val="000000"/>
        </w:rPr>
        <w:t>Instructions</w:t>
      </w:r>
      <w:r w:rsidRPr="00BA6979">
        <w:rPr>
          <w:color w:val="000000"/>
        </w:rPr>
        <w:t xml:space="preserve">) or any major inconsistency in the </w:t>
      </w:r>
      <w:r w:rsidR="00227148" w:rsidRPr="00BA6979">
        <w:rPr>
          <w:color w:val="000000"/>
        </w:rPr>
        <w:t xml:space="preserve">full </w:t>
      </w:r>
      <w:r w:rsidRPr="00BA6979">
        <w:rPr>
          <w:color w:val="000000"/>
        </w:rPr>
        <w:t xml:space="preserve">application (e.g. </w:t>
      </w:r>
      <w:r w:rsidR="0040484C" w:rsidRPr="00BA6979">
        <w:rPr>
          <w:color w:val="000000"/>
        </w:rPr>
        <w:t xml:space="preserve">if </w:t>
      </w:r>
      <w:r w:rsidRPr="00BA6979">
        <w:rPr>
          <w:color w:val="000000"/>
        </w:rPr>
        <w:t xml:space="preserve">the amounts in the budget </w:t>
      </w:r>
      <w:r w:rsidR="00AD5C5F" w:rsidRPr="00BA6979">
        <w:rPr>
          <w:color w:val="000000"/>
        </w:rPr>
        <w:t xml:space="preserve">worksheets </w:t>
      </w:r>
      <w:r w:rsidRPr="00BA6979">
        <w:rPr>
          <w:color w:val="000000"/>
        </w:rPr>
        <w:t>are inconsist</w:t>
      </w:r>
      <w:r w:rsidR="00AD5C5F" w:rsidRPr="00BA6979">
        <w:rPr>
          <w:color w:val="000000"/>
        </w:rPr>
        <w:t>ent</w:t>
      </w:r>
      <w:r w:rsidRPr="00BA6979">
        <w:rPr>
          <w:color w:val="000000"/>
        </w:rPr>
        <w:t xml:space="preserve">) may lead to the rejection of the </w:t>
      </w:r>
      <w:r w:rsidR="006459C5" w:rsidRPr="00BA6979">
        <w:rPr>
          <w:color w:val="000000"/>
        </w:rPr>
        <w:t>application</w:t>
      </w:r>
      <w:r w:rsidRPr="00BA6979">
        <w:rPr>
          <w:color w:val="000000"/>
        </w:rPr>
        <w:t>.</w:t>
      </w:r>
    </w:p>
    <w:p w14:paraId="08282697" w14:textId="77777777" w:rsidR="003956DF" w:rsidRPr="00BA6979" w:rsidRDefault="003956DF" w:rsidP="00F36C74">
      <w:pPr>
        <w:spacing w:after="120" w:line="240" w:lineRule="atLeast"/>
      </w:pPr>
      <w:r w:rsidRPr="00BA6979">
        <w:t>Clarifications will only be requested when information provided is unclear</w:t>
      </w:r>
      <w:r w:rsidR="0040484C" w:rsidRPr="00BA6979">
        <w:t xml:space="preserve"> and</w:t>
      </w:r>
      <w:r w:rsidRPr="00BA6979">
        <w:t xml:space="preserve"> thus prevent</w:t>
      </w:r>
      <w:r w:rsidR="0040484C" w:rsidRPr="00BA6979">
        <w:t>s</w:t>
      </w:r>
      <w:r w:rsidRPr="00BA6979">
        <w:t xml:space="preserve"> the </w:t>
      </w:r>
      <w:r w:rsidR="00AA0B45" w:rsidRPr="00BA6979">
        <w:t>c</w:t>
      </w:r>
      <w:r w:rsidRPr="00BA6979">
        <w:t xml:space="preserve">ontracting </w:t>
      </w:r>
      <w:r w:rsidR="00AA0B45" w:rsidRPr="00BA6979">
        <w:t>a</w:t>
      </w:r>
      <w:r w:rsidRPr="00BA6979">
        <w:t>uthority from conducting an objective assessment.</w:t>
      </w:r>
    </w:p>
    <w:p w14:paraId="075D2FD2" w14:textId="77777777" w:rsidR="00E16F20" w:rsidRDefault="003956DF" w:rsidP="00F36C74">
      <w:pPr>
        <w:spacing w:after="120" w:line="240" w:lineRule="atLeast"/>
        <w:rPr>
          <w:b/>
          <w:szCs w:val="22"/>
          <w:lang w:eastAsia="en-GB"/>
        </w:rPr>
      </w:pPr>
      <w:r w:rsidRPr="00BA6979">
        <w:rPr>
          <w:szCs w:val="22"/>
          <w:lang w:eastAsia="en-GB"/>
        </w:rPr>
        <w:t xml:space="preserve">Please note that only the </w:t>
      </w:r>
      <w:r w:rsidR="00227148" w:rsidRPr="00BA6979">
        <w:rPr>
          <w:szCs w:val="22"/>
          <w:lang w:eastAsia="en-GB"/>
        </w:rPr>
        <w:t xml:space="preserve">full </w:t>
      </w:r>
      <w:r w:rsidRPr="00BA6979">
        <w:rPr>
          <w:szCs w:val="22"/>
          <w:lang w:eastAsia="en-GB"/>
        </w:rPr>
        <w:t xml:space="preserve">application form and the published annexes which </w:t>
      </w:r>
      <w:proofErr w:type="gramStart"/>
      <w:r w:rsidRPr="00BA6979">
        <w:rPr>
          <w:szCs w:val="22"/>
          <w:lang w:eastAsia="en-GB"/>
        </w:rPr>
        <w:t>have to</w:t>
      </w:r>
      <w:proofErr w:type="gramEnd"/>
      <w:r w:rsidRPr="00BA6979">
        <w:rPr>
          <w:szCs w:val="22"/>
          <w:lang w:eastAsia="en-GB"/>
        </w:rPr>
        <w:t xml:space="preserve"> be filled in (budget, logical framework) will be transmitted to the evaluators </w:t>
      </w:r>
      <w:r w:rsidR="008B1EA7" w:rsidRPr="00BA6979">
        <w:rPr>
          <w:szCs w:val="22"/>
          <w:lang w:eastAsia="en-GB"/>
        </w:rPr>
        <w:t>(</w:t>
      </w:r>
      <w:r w:rsidRPr="00BA6979">
        <w:rPr>
          <w:szCs w:val="22"/>
          <w:lang w:eastAsia="en-GB"/>
        </w:rPr>
        <w:t>and assessors</w:t>
      </w:r>
      <w:r w:rsidR="008B1EA7" w:rsidRPr="00BA6979">
        <w:rPr>
          <w:szCs w:val="22"/>
          <w:lang w:eastAsia="en-GB"/>
        </w:rPr>
        <w:t>, if used)</w:t>
      </w:r>
      <w:r w:rsidRPr="00BA6979">
        <w:rPr>
          <w:szCs w:val="22"/>
          <w:lang w:eastAsia="en-GB"/>
        </w:rPr>
        <w:t xml:space="preserve">. It is therefore of utmost importance that these documents contain ALL </w:t>
      </w:r>
      <w:r w:rsidR="0040484C" w:rsidRPr="00BA6979">
        <w:rPr>
          <w:szCs w:val="22"/>
          <w:lang w:eastAsia="en-GB"/>
        </w:rPr>
        <w:t xml:space="preserve">the </w:t>
      </w:r>
      <w:r w:rsidRPr="00BA6979">
        <w:rPr>
          <w:szCs w:val="22"/>
          <w:lang w:eastAsia="en-GB"/>
        </w:rPr>
        <w:t>relevant information concerning the action.</w:t>
      </w:r>
      <w:r w:rsidRPr="00BA6979">
        <w:rPr>
          <w:b/>
          <w:szCs w:val="22"/>
          <w:lang w:eastAsia="en-GB"/>
        </w:rPr>
        <w:t xml:space="preserve"> </w:t>
      </w:r>
    </w:p>
    <w:p w14:paraId="1D005146" w14:textId="77777777" w:rsidR="00630A06" w:rsidRPr="00BE2542" w:rsidRDefault="00630A06" w:rsidP="00F36C74">
      <w:pPr>
        <w:spacing w:after="120" w:line="240" w:lineRule="atLeast"/>
        <w:rPr>
          <w:b/>
        </w:rPr>
      </w:pPr>
      <w:bookmarkStart w:id="60" w:name="_Hlk163807446"/>
      <w:r w:rsidRPr="00BA6979">
        <w:rPr>
          <w:b/>
          <w:u w:val="single"/>
        </w:rPr>
        <w:t>Please note that incomplete applications may be rejected</w:t>
      </w:r>
      <w:r w:rsidRPr="00FE05D4">
        <w:rPr>
          <w:b/>
        </w:rPr>
        <w:t>.</w:t>
      </w:r>
      <w:r>
        <w:rPr>
          <w:b/>
        </w:rPr>
        <w:t xml:space="preserve"> </w:t>
      </w:r>
      <w:r>
        <w:t>Lead a</w:t>
      </w:r>
      <w:r w:rsidRPr="003953A0">
        <w:t xml:space="preserve">pplicants </w:t>
      </w:r>
      <w:r>
        <w:t xml:space="preserve">are advised to </w:t>
      </w:r>
      <w:r w:rsidRPr="003953A0">
        <w:t>verify that their application is complete using the checklist</w:t>
      </w:r>
      <w:r>
        <w:t xml:space="preserve"> </w:t>
      </w:r>
      <w:r w:rsidRPr="003953A0">
        <w:t>(Annex A.2</w:t>
      </w:r>
      <w:r>
        <w:t>,</w:t>
      </w:r>
      <w:r w:rsidRPr="003953A0">
        <w:t xml:space="preserve"> </w:t>
      </w:r>
      <w:r>
        <w:t>Instructions</w:t>
      </w:r>
      <w:r w:rsidRPr="00564F01">
        <w:t>).</w:t>
      </w:r>
    </w:p>
    <w:bookmarkEnd w:id="60"/>
    <w:p w14:paraId="303AB6EF" w14:textId="77777777" w:rsidR="008B69D1" w:rsidRDefault="008B69D1" w:rsidP="00F36C74">
      <w:pPr>
        <w:spacing w:after="120" w:line="240" w:lineRule="atLeast"/>
        <w:rPr>
          <w:color w:val="000000"/>
        </w:rPr>
      </w:pPr>
      <w:r>
        <w:rPr>
          <w:color w:val="000000"/>
        </w:rPr>
        <w:t>I</w:t>
      </w:r>
      <w:r w:rsidR="0041369D">
        <w:rPr>
          <w:color w:val="000000"/>
        </w:rPr>
        <w:t>f</w:t>
      </w:r>
      <w:r w:rsidRPr="00807DAF">
        <w:rPr>
          <w:color w:val="000000"/>
        </w:rPr>
        <w:t xml:space="preserve"> it is impossible to register </w:t>
      </w:r>
      <w:r>
        <w:rPr>
          <w:color w:val="000000"/>
        </w:rPr>
        <w:t xml:space="preserve">online </w:t>
      </w:r>
      <w:r w:rsidRPr="00807DAF">
        <w:rPr>
          <w:color w:val="000000"/>
        </w:rPr>
        <w:t xml:space="preserve">in </w:t>
      </w:r>
      <w:proofErr w:type="spellStart"/>
      <w:r w:rsidRPr="00807DAF">
        <w:rPr>
          <w:color w:val="000000"/>
        </w:rPr>
        <w:t>PADOR</w:t>
      </w:r>
      <w:proofErr w:type="spellEnd"/>
      <w:r>
        <w:rPr>
          <w:color w:val="000000"/>
        </w:rPr>
        <w:t xml:space="preserve"> for technical reasons</w:t>
      </w:r>
      <w:r w:rsidR="001F08AD">
        <w:rPr>
          <w:color w:val="000000"/>
        </w:rPr>
        <w:t>, or for confidentiality and security concerns</w:t>
      </w:r>
      <w:r w:rsidRPr="00807DAF">
        <w:rPr>
          <w:color w:val="000000"/>
        </w:rPr>
        <w:t xml:space="preserve">, </w:t>
      </w:r>
      <w:r w:rsidR="00E16F20" w:rsidRPr="00BA6979">
        <w:rPr>
          <w:b/>
          <w:szCs w:val="22"/>
          <w:lang w:eastAsia="en-GB"/>
        </w:rPr>
        <w:t xml:space="preserve">the lead applicant </w:t>
      </w:r>
      <w:proofErr w:type="gramStart"/>
      <w:r w:rsidR="00E16F20" w:rsidRPr="00BA6979">
        <w:rPr>
          <w:b/>
          <w:szCs w:val="22"/>
          <w:lang w:eastAsia="en-GB"/>
        </w:rPr>
        <w:t>has to</w:t>
      </w:r>
      <w:proofErr w:type="gramEnd"/>
      <w:r w:rsidR="00E16F20" w:rsidRPr="00BA6979">
        <w:rPr>
          <w:b/>
          <w:szCs w:val="22"/>
          <w:lang w:eastAsia="en-GB"/>
        </w:rPr>
        <w:t xml:space="preserve"> submit</w:t>
      </w:r>
      <w:r>
        <w:rPr>
          <w:b/>
          <w:szCs w:val="22"/>
          <w:lang w:eastAsia="en-GB"/>
        </w:rPr>
        <w:t xml:space="preserve"> with the full application</w:t>
      </w:r>
      <w:r w:rsidR="00E16F20" w:rsidRPr="00BA6979">
        <w:rPr>
          <w:b/>
          <w:szCs w:val="22"/>
          <w:lang w:eastAsia="en-GB"/>
        </w:rPr>
        <w:t xml:space="preserve"> </w:t>
      </w:r>
      <w:r w:rsidR="007941FB" w:rsidRPr="00BA6979">
        <w:rPr>
          <w:b/>
          <w:szCs w:val="22"/>
          <w:lang w:eastAsia="en-GB"/>
        </w:rPr>
        <w:t xml:space="preserve">the </w:t>
      </w:r>
      <w:r w:rsidR="00E16F20" w:rsidRPr="00BA6979">
        <w:rPr>
          <w:b/>
          <w:szCs w:val="22"/>
          <w:lang w:eastAsia="en-GB"/>
        </w:rPr>
        <w:t xml:space="preserve">completed </w:t>
      </w:r>
      <w:proofErr w:type="spellStart"/>
      <w:r w:rsidR="007941FB" w:rsidRPr="00BA6979">
        <w:rPr>
          <w:b/>
          <w:szCs w:val="22"/>
          <w:lang w:eastAsia="en-GB"/>
        </w:rPr>
        <w:t>PADOR</w:t>
      </w:r>
      <w:proofErr w:type="spellEnd"/>
      <w:r w:rsidR="00967B34">
        <w:rPr>
          <w:b/>
          <w:szCs w:val="22"/>
          <w:lang w:eastAsia="en-GB"/>
        </w:rPr>
        <w:t xml:space="preserve"> </w:t>
      </w:r>
      <w:r w:rsidR="00AA0B45" w:rsidRPr="00BA6979">
        <w:rPr>
          <w:b/>
          <w:szCs w:val="22"/>
          <w:lang w:eastAsia="en-GB"/>
        </w:rPr>
        <w:t>f</w:t>
      </w:r>
      <w:r w:rsidR="000176DE" w:rsidRPr="00BA6979">
        <w:rPr>
          <w:b/>
          <w:szCs w:val="22"/>
          <w:lang w:eastAsia="en-GB"/>
        </w:rPr>
        <w:t>orm</w:t>
      </w:r>
      <w:r w:rsidR="00E16F20" w:rsidRPr="00BA6979">
        <w:rPr>
          <w:b/>
          <w:szCs w:val="22"/>
          <w:lang w:eastAsia="en-GB"/>
        </w:rPr>
        <w:t xml:space="preserve"> (Annex F) for the lead applicant, each (if any) co-applicants and each (if any) affiliated entities</w:t>
      </w:r>
      <w:bookmarkStart w:id="61" w:name="_Hlk163809025"/>
      <w:r w:rsidR="00554F55" w:rsidRPr="000275A9">
        <w:rPr>
          <w:rStyle w:val="FootnoteReference"/>
          <w:b/>
          <w:szCs w:val="22"/>
          <w:lang w:eastAsia="en-GB"/>
        </w:rPr>
        <w:footnoteReference w:id="28"/>
      </w:r>
      <w:bookmarkEnd w:id="61"/>
      <w:r w:rsidR="000D46D7" w:rsidRPr="00BA6979">
        <w:rPr>
          <w:b/>
          <w:szCs w:val="22"/>
          <w:lang w:eastAsia="en-GB"/>
        </w:rPr>
        <w:t>.</w:t>
      </w:r>
      <w:r w:rsidRPr="008B69D1">
        <w:rPr>
          <w:color w:val="000000"/>
        </w:rPr>
        <w:t xml:space="preserve"> </w:t>
      </w:r>
    </w:p>
    <w:p w14:paraId="5788B3C2" w14:textId="77777777" w:rsidR="00465AA9" w:rsidRPr="006530E9" w:rsidRDefault="00D117D2" w:rsidP="00F36C74">
      <w:pPr>
        <w:spacing w:after="120" w:line="240" w:lineRule="atLeast"/>
        <w:rPr>
          <w:szCs w:val="22"/>
          <w:lang w:eastAsia="en-GB"/>
        </w:rPr>
      </w:pPr>
      <w:r w:rsidRPr="006530E9">
        <w:rPr>
          <w:color w:val="000000"/>
        </w:rPr>
        <w:lastRenderedPageBreak/>
        <w:t>In addition,</w:t>
      </w:r>
      <w:r w:rsidR="00465AA9" w:rsidRPr="006530E9">
        <w:rPr>
          <w:color w:val="000000"/>
        </w:rPr>
        <w:t xml:space="preserve"> the following documents shall be </w:t>
      </w:r>
      <w:r w:rsidR="00C16F5B" w:rsidRPr="006530E9">
        <w:rPr>
          <w:color w:val="000000"/>
        </w:rPr>
        <w:t xml:space="preserve">submitted </w:t>
      </w:r>
      <w:r w:rsidR="00465AA9" w:rsidRPr="006530E9">
        <w:rPr>
          <w:szCs w:val="22"/>
          <w:lang w:eastAsia="en-GB"/>
        </w:rPr>
        <w:t xml:space="preserve">by the full application deadline </w:t>
      </w:r>
      <w:r w:rsidR="00C16F5B" w:rsidRPr="006530E9">
        <w:rPr>
          <w:szCs w:val="22"/>
          <w:lang w:eastAsia="en-GB"/>
        </w:rPr>
        <w:t xml:space="preserve">together </w:t>
      </w:r>
      <w:r w:rsidR="00465AA9" w:rsidRPr="006530E9">
        <w:rPr>
          <w:szCs w:val="22"/>
          <w:lang w:eastAsia="en-GB"/>
        </w:rPr>
        <w:t>with the full application form:</w:t>
      </w:r>
    </w:p>
    <w:p w14:paraId="3264F783" w14:textId="77777777" w:rsidR="00465AA9" w:rsidRPr="006530E9" w:rsidRDefault="00465AA9" w:rsidP="00F61F60">
      <w:pPr>
        <w:numPr>
          <w:ilvl w:val="0"/>
          <w:numId w:val="25"/>
        </w:numPr>
        <w:spacing w:after="120" w:line="240" w:lineRule="atLeast"/>
        <w:ind w:left="567"/>
      </w:pPr>
      <w:r w:rsidRPr="006530E9">
        <w:t xml:space="preserve">The statutes or articles of association of the lead applicant, (if any) of each co-applicant and (if any) of each affiliated entity. Where the </w:t>
      </w:r>
      <w:bookmarkStart w:id="62" w:name="_Hlk163750703"/>
      <w:r w:rsidRPr="006530E9">
        <w:t>contracting authority has recognised the lead applicant’s, or the co-applicant(s)’s, or their affiliated entity(</w:t>
      </w:r>
      <w:proofErr w:type="spellStart"/>
      <w:r w:rsidRPr="006530E9">
        <w:t>ies</w:t>
      </w:r>
      <w:proofErr w:type="spellEnd"/>
      <w:r w:rsidRPr="006530E9">
        <w:t xml:space="preserve">)’s eligibility for another call for proposals under the same budget line within 2 years before the deadline for receipt of applications, it </w:t>
      </w:r>
      <w:r w:rsidR="001F08AD" w:rsidRPr="006530E9">
        <w:t>shall submit</w:t>
      </w:r>
      <w:r w:rsidRPr="006530E9">
        <w:t xml:space="preserve"> instead a copy of the document proving their eligibility in a former call (e.g. a copy of the special conditions of a grant contract received during the reference period), unless a change in legal status has occurred in the meantime</w:t>
      </w:r>
      <w:r w:rsidR="000A486E" w:rsidRPr="006530E9">
        <w:t xml:space="preserve">. </w:t>
      </w:r>
      <w:bookmarkEnd w:id="62"/>
      <w:r w:rsidRPr="006530E9">
        <w:t xml:space="preserve">This obligation does not apply to international organisations which have </w:t>
      </w:r>
      <w:r w:rsidR="001F08AD" w:rsidRPr="006530E9">
        <w:t>been subject of a pillar assessment</w:t>
      </w:r>
      <w:r w:rsidRPr="006530E9">
        <w:t>.</w:t>
      </w:r>
    </w:p>
    <w:p w14:paraId="667834DA" w14:textId="77777777" w:rsidR="00276C28" w:rsidRPr="006530E9" w:rsidRDefault="00276C28" w:rsidP="00F61F60">
      <w:pPr>
        <w:numPr>
          <w:ilvl w:val="0"/>
          <w:numId w:val="25"/>
        </w:numPr>
        <w:spacing w:after="120" w:line="240" w:lineRule="atLeast"/>
        <w:ind w:left="567"/>
        <w:rPr>
          <w:szCs w:val="22"/>
          <w:lang w:val="en-IE" w:eastAsia="fr-BE"/>
        </w:rPr>
      </w:pPr>
      <w:bookmarkStart w:id="63" w:name="_Hlk164256464"/>
      <w:r w:rsidRPr="006530E9">
        <w:t xml:space="preserve">The declaration on honour </w:t>
      </w:r>
      <w:bookmarkStart w:id="64" w:name="_Hlk164254499"/>
      <w:r w:rsidRPr="006530E9">
        <w:t xml:space="preserve">(Annex H to these guidelines) </w:t>
      </w:r>
      <w:bookmarkEnd w:id="64"/>
      <w:r w:rsidRPr="006530E9">
        <w:t>signed by the lead applicant as well as all co-applicants and affiliated entities certifying that they are not in one of the exclusion situations (see Section 2.4.2 of the practical guide) where the amount of the grant exceeds EUR 15 000.</w:t>
      </w:r>
      <w:bookmarkEnd w:id="63"/>
    </w:p>
    <w:p w14:paraId="2C908E5A" w14:textId="77777777" w:rsidR="0045224D" w:rsidRPr="006530E9" w:rsidRDefault="0045224D" w:rsidP="00F61F60">
      <w:pPr>
        <w:numPr>
          <w:ilvl w:val="0"/>
          <w:numId w:val="25"/>
        </w:numPr>
        <w:spacing w:after="120" w:line="240" w:lineRule="atLeast"/>
        <w:ind w:left="567"/>
        <w:rPr>
          <w:szCs w:val="22"/>
          <w:lang w:val="en-IE" w:eastAsia="en-GB"/>
        </w:rPr>
      </w:pPr>
      <w:r w:rsidRPr="006530E9">
        <w:rPr>
          <w:szCs w:val="22"/>
          <w:lang w:val="en-IE" w:eastAsia="en-GB"/>
        </w:rPr>
        <w:t>In addition, for the purpose of the evaluation of the financial capacity, the following documents should be submitted</w:t>
      </w:r>
      <w:r w:rsidRPr="006530E9">
        <w:rPr>
          <w:rStyle w:val="FootnoteReference"/>
          <w:color w:val="000000"/>
        </w:rPr>
        <w:footnoteReference w:id="29"/>
      </w:r>
      <w:r w:rsidRPr="006530E9">
        <w:rPr>
          <w:szCs w:val="22"/>
          <w:lang w:val="en-IE" w:eastAsia="en-GB"/>
        </w:rPr>
        <w:t xml:space="preserve">:  </w:t>
      </w:r>
    </w:p>
    <w:p w14:paraId="40B1CF8A" w14:textId="77777777" w:rsidR="0045224D" w:rsidRPr="006530E9" w:rsidRDefault="0045224D" w:rsidP="00F61F60">
      <w:pPr>
        <w:numPr>
          <w:ilvl w:val="0"/>
          <w:numId w:val="28"/>
        </w:numPr>
        <w:spacing w:after="120" w:line="240" w:lineRule="atLeast"/>
        <w:ind w:left="1134"/>
        <w:rPr>
          <w:lang w:eastAsia="en-GB"/>
        </w:rPr>
      </w:pPr>
      <w:r w:rsidRPr="006530E9">
        <w:rPr>
          <w:lang w:eastAsia="en-GB"/>
        </w:rPr>
        <w:t xml:space="preserve">For action grants exceeding EUR 750 000 and for operating grants exceeding EUR 100 000, the lead applicant must provide an audit report produced by an approved external auditor where it is available, and always in cases where a statutory audit is required by EU or national law. That report shall certify the accounts of the lead applicant for up to the last 3 available financial years. </w:t>
      </w:r>
    </w:p>
    <w:p w14:paraId="0073A77F" w14:textId="77777777" w:rsidR="0045224D" w:rsidRPr="006530E9" w:rsidRDefault="0045224D" w:rsidP="001417D6">
      <w:pPr>
        <w:spacing w:after="120" w:line="240" w:lineRule="atLeast"/>
        <w:ind w:left="1134"/>
        <w:rPr>
          <w:lang w:eastAsia="en-GB"/>
        </w:rPr>
      </w:pPr>
      <w:r w:rsidRPr="006530E9">
        <w:rPr>
          <w:lang w:eastAsia="en-GB"/>
        </w:rPr>
        <w:t xml:space="preserve">In all other cases, the lead applicant shall provide a self-declaration signed by its authorised representative certifying the validity of its accounts for up to the last 3 available financial years. </w:t>
      </w:r>
    </w:p>
    <w:p w14:paraId="6FED55C0" w14:textId="77777777" w:rsidR="0045224D" w:rsidRPr="006530E9" w:rsidRDefault="0045224D" w:rsidP="001417D6">
      <w:pPr>
        <w:spacing w:after="120" w:line="240" w:lineRule="atLeast"/>
        <w:ind w:left="1134"/>
        <w:rPr>
          <w:lang w:eastAsia="en-GB"/>
        </w:rPr>
      </w:pPr>
      <w:r w:rsidRPr="006530E9">
        <w:rPr>
          <w:lang w:eastAsia="en-GB"/>
        </w:rPr>
        <w:t>This requirement shall apply only to the first application made by an applicant to the contracting authority in any one financial year.</w:t>
      </w:r>
    </w:p>
    <w:p w14:paraId="7EFFA3CE" w14:textId="77777777" w:rsidR="0045224D" w:rsidRPr="006530E9" w:rsidRDefault="0045224D" w:rsidP="001417D6">
      <w:pPr>
        <w:spacing w:after="120" w:line="240" w:lineRule="atLeast"/>
        <w:ind w:left="1134"/>
        <w:rPr>
          <w:lang w:eastAsia="en-GB"/>
        </w:rPr>
      </w:pPr>
      <w:r w:rsidRPr="006530E9">
        <w:rPr>
          <w:lang w:eastAsia="en-GB"/>
        </w:rPr>
        <w:t>The external audit report as well as the self-declaration certifying the validity of the accounts are not required from the co-applicant(s) or affiliated entities (if any).</w:t>
      </w:r>
    </w:p>
    <w:p w14:paraId="303C015C" w14:textId="77777777" w:rsidR="0045224D" w:rsidRPr="00005E10" w:rsidRDefault="0045224D" w:rsidP="001417D6">
      <w:pPr>
        <w:spacing w:after="120" w:line="240" w:lineRule="atLeast"/>
        <w:ind w:left="1134"/>
        <w:rPr>
          <w:highlight w:val="yellow"/>
          <w:lang w:eastAsia="en-GB"/>
        </w:rPr>
      </w:pPr>
      <w:r w:rsidRPr="006530E9">
        <w:rPr>
          <w:lang w:eastAsia="en-GB"/>
        </w:rPr>
        <w:t>If eligible and depending on the authoris</w:t>
      </w:r>
      <w:r w:rsidR="006530E9">
        <w:rPr>
          <w:lang w:eastAsia="en-GB"/>
        </w:rPr>
        <w:t xml:space="preserve">ing officer’s risk assessment: </w:t>
      </w:r>
      <w:r w:rsidRPr="006530E9">
        <w:rPr>
          <w:lang w:eastAsia="en-GB"/>
        </w:rPr>
        <w:t>This obligation does not apply to secondary and higher education establishments</w:t>
      </w:r>
    </w:p>
    <w:p w14:paraId="090CF314" w14:textId="77777777" w:rsidR="0045224D" w:rsidRPr="006530E9" w:rsidRDefault="0045224D" w:rsidP="00F61F60">
      <w:pPr>
        <w:numPr>
          <w:ilvl w:val="0"/>
          <w:numId w:val="28"/>
        </w:numPr>
        <w:spacing w:after="240" w:line="240" w:lineRule="atLeast"/>
        <w:ind w:left="1134" w:hanging="357"/>
        <w:rPr>
          <w:lang w:eastAsia="en-GB"/>
        </w:rPr>
      </w:pPr>
      <w:r w:rsidRPr="006530E9">
        <w:t>A copy of the lead applicant’s latest accounts (the profit and loss account and the balance sheet for the last financial year for which the accounts have been closed). A copy of the latest account is neither required from the co-applicant(s) (if any) nor from affiliated entity(</w:t>
      </w:r>
      <w:proofErr w:type="spellStart"/>
      <w:r w:rsidRPr="006530E9">
        <w:t>ies</w:t>
      </w:r>
      <w:proofErr w:type="spellEnd"/>
      <w:r w:rsidRPr="006530E9">
        <w:t>) (if any).</w:t>
      </w:r>
    </w:p>
    <w:p w14:paraId="50D5F2C6" w14:textId="77777777" w:rsidR="00465AA9" w:rsidRPr="006530E9" w:rsidRDefault="001D5CF0" w:rsidP="00F36C74">
      <w:pPr>
        <w:spacing w:after="120" w:line="240" w:lineRule="atLeast"/>
        <w:rPr>
          <w:bCs/>
          <w:color w:val="000000"/>
          <w:lang w:eastAsia="en-GB"/>
        </w:rPr>
      </w:pPr>
      <w:r w:rsidRPr="006530E9">
        <w:rPr>
          <w:bCs/>
          <w:color w:val="000000"/>
          <w:lang w:eastAsia="en-GB"/>
        </w:rPr>
        <w:t>These documents</w:t>
      </w:r>
      <w:r w:rsidR="00465AA9" w:rsidRPr="006530E9">
        <w:rPr>
          <w:bCs/>
          <w:color w:val="000000"/>
          <w:lang w:eastAsia="en-GB"/>
        </w:rPr>
        <w:t xml:space="preserve"> must be supplied in the form of originals</w:t>
      </w:r>
      <w:r w:rsidR="00BC6D74" w:rsidRPr="006530E9">
        <w:rPr>
          <w:bCs/>
          <w:color w:val="000000"/>
          <w:lang w:eastAsia="en-GB"/>
        </w:rPr>
        <w:t xml:space="preserve"> </w:t>
      </w:r>
      <w:bookmarkStart w:id="65" w:name="_Hlk164256515"/>
      <w:r w:rsidR="00BC6D74" w:rsidRPr="006530E9">
        <w:rPr>
          <w:bCs/>
          <w:color w:val="000000"/>
          <w:lang w:eastAsia="en-GB"/>
        </w:rPr>
        <w:t xml:space="preserve">(blue ink </w:t>
      </w:r>
      <w:r w:rsidR="00D239EF" w:rsidRPr="006530E9">
        <w:rPr>
          <w:bCs/>
          <w:color w:val="000000"/>
          <w:lang w:eastAsia="en-GB"/>
        </w:rPr>
        <w:t xml:space="preserve">signature </w:t>
      </w:r>
      <w:r w:rsidR="00BC6D74" w:rsidRPr="006530E9">
        <w:rPr>
          <w:bCs/>
          <w:color w:val="000000"/>
          <w:lang w:eastAsia="en-GB"/>
        </w:rPr>
        <w:t xml:space="preserve">or </w:t>
      </w:r>
      <w:r w:rsidR="00BC6D74" w:rsidRPr="006530E9">
        <w:rPr>
          <w:lang w:eastAsia="en-GB"/>
        </w:rPr>
        <w:t>by applying a qualified electronic signature (QES)</w:t>
      </w:r>
      <w:r w:rsidR="00BC6D74" w:rsidRPr="006530E9">
        <w:rPr>
          <w:sz w:val="24"/>
          <w:vertAlign w:val="superscript"/>
          <w:lang w:eastAsia="en-GB"/>
        </w:rPr>
        <w:footnoteReference w:id="30"/>
      </w:r>
      <w:r w:rsidR="00BC6D74" w:rsidRPr="006530E9">
        <w:rPr>
          <w:lang w:eastAsia="en-GB"/>
        </w:rPr>
        <w:t>)</w:t>
      </w:r>
      <w:bookmarkEnd w:id="65"/>
      <w:r w:rsidR="00465AA9" w:rsidRPr="006530E9">
        <w:rPr>
          <w:bCs/>
          <w:color w:val="000000"/>
          <w:lang w:eastAsia="en-GB"/>
        </w:rPr>
        <w:t>, photocopies or scanned versions (i.e. showing legible stamps, signatures and dates) of the said originals.</w:t>
      </w:r>
      <w:r w:rsidR="00CD1512" w:rsidRPr="006530E9">
        <w:rPr>
          <w:bCs/>
          <w:color w:val="000000"/>
          <w:lang w:eastAsia="en-GB"/>
        </w:rPr>
        <w:t xml:space="preserve"> </w:t>
      </w:r>
      <w:bookmarkStart w:id="66" w:name="_Hlk164256198"/>
      <w:r w:rsidR="00D239EF" w:rsidRPr="006530E9">
        <w:rPr>
          <w:bCs/>
          <w:color w:val="000000"/>
          <w:lang w:eastAsia="en-GB"/>
        </w:rPr>
        <w:t>Where photocopies or scanned copies are provided, o</w:t>
      </w:r>
      <w:r w:rsidR="00CD1512" w:rsidRPr="006530E9">
        <w:rPr>
          <w:bCs/>
          <w:color w:val="000000"/>
          <w:lang w:eastAsia="en-GB"/>
        </w:rPr>
        <w:t>riginals</w:t>
      </w:r>
      <w:bookmarkStart w:id="67" w:name="_Hlk164256542"/>
      <w:r w:rsidR="00CD1512" w:rsidRPr="006530E9">
        <w:rPr>
          <w:bCs/>
          <w:color w:val="000000"/>
          <w:lang w:eastAsia="en-GB"/>
        </w:rPr>
        <w:t xml:space="preserve"> </w:t>
      </w:r>
      <w:r w:rsidR="00BC6D74" w:rsidRPr="006530E9">
        <w:rPr>
          <w:bCs/>
          <w:color w:val="000000"/>
          <w:lang w:eastAsia="en-GB"/>
        </w:rPr>
        <w:t xml:space="preserve">shall </w:t>
      </w:r>
      <w:bookmarkEnd w:id="67"/>
      <w:r w:rsidR="00CD1512" w:rsidRPr="006530E9">
        <w:rPr>
          <w:bCs/>
          <w:color w:val="000000"/>
          <w:lang w:eastAsia="en-GB"/>
        </w:rPr>
        <w:t xml:space="preserve">be kept on file for </w:t>
      </w:r>
      <w:proofErr w:type="gramStart"/>
      <w:r w:rsidR="00CD1512" w:rsidRPr="006530E9">
        <w:rPr>
          <w:bCs/>
          <w:color w:val="000000"/>
          <w:lang w:eastAsia="en-GB"/>
        </w:rPr>
        <w:t>controls</w:t>
      </w:r>
      <w:r w:rsidR="00C16F5B" w:rsidRPr="006530E9">
        <w:rPr>
          <w:bCs/>
          <w:color w:val="000000"/>
          <w:lang w:eastAsia="en-GB"/>
        </w:rPr>
        <w:t xml:space="preserve"> </w:t>
      </w:r>
      <w:r w:rsidR="00BC6D74" w:rsidRPr="006530E9">
        <w:rPr>
          <w:lang w:eastAsia="en-GB"/>
        </w:rPr>
        <w:t xml:space="preserve"> </w:t>
      </w:r>
      <w:bookmarkStart w:id="68" w:name="_Hlk164256561"/>
      <w:r w:rsidR="00BC6D74" w:rsidRPr="006530E9">
        <w:rPr>
          <w:lang w:eastAsia="en-GB"/>
        </w:rPr>
        <w:t>in</w:t>
      </w:r>
      <w:proofErr w:type="gramEnd"/>
      <w:r w:rsidR="00BC6D74" w:rsidRPr="006530E9">
        <w:rPr>
          <w:lang w:eastAsia="en-GB"/>
        </w:rPr>
        <w:t xml:space="preserve"> accordance with the record keeping obligations laid down in Section 2.5.5. of the practical guide.</w:t>
      </w:r>
      <w:bookmarkEnd w:id="66"/>
      <w:bookmarkEnd w:id="68"/>
    </w:p>
    <w:p w14:paraId="3ACF6BB9" w14:textId="77777777" w:rsidR="00465AA9" w:rsidRPr="006530E9" w:rsidRDefault="00465AA9" w:rsidP="00F36C74">
      <w:pPr>
        <w:spacing w:after="120" w:line="240" w:lineRule="atLeast"/>
        <w:rPr>
          <w:bCs/>
          <w:color w:val="000000"/>
          <w:lang w:eastAsia="en-GB"/>
        </w:rPr>
      </w:pPr>
      <w:r w:rsidRPr="006530E9">
        <w:rPr>
          <w:bCs/>
          <w:color w:val="000000"/>
          <w:lang w:eastAsia="en-GB"/>
        </w:rPr>
        <w:t>Where such documents are not in one of the official languages of the European</w:t>
      </w:r>
      <w:r w:rsidR="006530E9">
        <w:rPr>
          <w:bCs/>
          <w:color w:val="000000"/>
          <w:lang w:eastAsia="en-GB"/>
        </w:rPr>
        <w:t xml:space="preserve">, a translation into </w:t>
      </w:r>
      <w:r w:rsidRPr="006530E9">
        <w:rPr>
          <w:bCs/>
          <w:color w:val="000000"/>
          <w:lang w:eastAsia="en-GB"/>
        </w:rPr>
        <w:t>the</w:t>
      </w:r>
      <w:r w:rsidR="006530E9">
        <w:rPr>
          <w:bCs/>
          <w:color w:val="000000"/>
          <w:lang w:eastAsia="en-GB"/>
        </w:rPr>
        <w:t xml:space="preserve"> language of the call for proposals</w:t>
      </w:r>
      <w:r w:rsidRPr="006530E9">
        <w:rPr>
          <w:bCs/>
          <w:color w:val="000000"/>
          <w:lang w:eastAsia="en-GB"/>
        </w:rPr>
        <w:t xml:space="preserve"> of the relevant parts of these documents proving the lead applicant's and, where applicable, co-applicants' and affiliated entity(</w:t>
      </w:r>
      <w:proofErr w:type="spellStart"/>
      <w:r w:rsidRPr="006530E9">
        <w:rPr>
          <w:bCs/>
          <w:color w:val="000000"/>
          <w:lang w:eastAsia="en-GB"/>
        </w:rPr>
        <w:t>ies</w:t>
      </w:r>
      <w:proofErr w:type="spellEnd"/>
      <w:r w:rsidRPr="006530E9">
        <w:rPr>
          <w:bCs/>
          <w:color w:val="000000"/>
          <w:lang w:eastAsia="en-GB"/>
        </w:rPr>
        <w:t xml:space="preserve">)' eligibility, must be </w:t>
      </w:r>
      <w:r w:rsidR="001D5CF0" w:rsidRPr="006530E9">
        <w:rPr>
          <w:bCs/>
          <w:color w:val="000000"/>
          <w:lang w:eastAsia="en-GB"/>
        </w:rPr>
        <w:t xml:space="preserve">submitted </w:t>
      </w:r>
      <w:r w:rsidRPr="006530E9">
        <w:rPr>
          <w:bCs/>
          <w:color w:val="000000"/>
          <w:lang w:eastAsia="en-GB"/>
        </w:rPr>
        <w:t>for the purpose of analysing the application.</w:t>
      </w:r>
    </w:p>
    <w:p w14:paraId="42647139" w14:textId="77777777" w:rsidR="00465AA9" w:rsidRPr="001B53C9" w:rsidRDefault="00465AA9" w:rsidP="00F36C74">
      <w:pPr>
        <w:spacing w:after="120" w:line="240" w:lineRule="atLeast"/>
        <w:rPr>
          <w:bCs/>
          <w:color w:val="000000"/>
          <w:lang w:eastAsia="en-GB"/>
        </w:rPr>
      </w:pPr>
      <w:bookmarkStart w:id="69" w:name="_Hlk163752012"/>
      <w:r w:rsidRPr="006530E9">
        <w:rPr>
          <w:bCs/>
          <w:color w:val="000000"/>
          <w:lang w:eastAsia="en-GB"/>
        </w:rPr>
        <w:t xml:space="preserve">Where these documents are in an official language of the European Union other than </w:t>
      </w:r>
      <w:r w:rsidR="00CE18D2" w:rsidRPr="006530E9">
        <w:rPr>
          <w:bCs/>
          <w:color w:val="000000"/>
          <w:lang w:eastAsia="en-GB"/>
        </w:rPr>
        <w:t>English</w:t>
      </w:r>
      <w:r w:rsidRPr="006530E9">
        <w:rPr>
          <w:bCs/>
          <w:color w:val="000000"/>
          <w:lang w:eastAsia="en-GB"/>
        </w:rPr>
        <w:t xml:space="preserve">, it is strongly recommended, </w:t>
      </w:r>
      <w:proofErr w:type="gramStart"/>
      <w:r w:rsidRPr="006530E9">
        <w:rPr>
          <w:bCs/>
          <w:color w:val="000000"/>
          <w:lang w:eastAsia="en-GB"/>
        </w:rPr>
        <w:t>in order to</w:t>
      </w:r>
      <w:proofErr w:type="gramEnd"/>
      <w:r w:rsidRPr="006530E9">
        <w:rPr>
          <w:bCs/>
          <w:color w:val="000000"/>
          <w:lang w:eastAsia="en-GB"/>
        </w:rPr>
        <w:t xml:space="preserve"> facilitate the evaluation, to provide a translation of the relevant parts of the </w:t>
      </w:r>
      <w:r w:rsidRPr="006530E9">
        <w:rPr>
          <w:bCs/>
          <w:color w:val="000000"/>
          <w:lang w:eastAsia="en-GB"/>
        </w:rPr>
        <w:lastRenderedPageBreak/>
        <w:t>documents, proving the lead applicant's and, where applicable, co-applicants' and affiliated entity(</w:t>
      </w:r>
      <w:proofErr w:type="spellStart"/>
      <w:r w:rsidRPr="006530E9">
        <w:rPr>
          <w:bCs/>
          <w:color w:val="000000"/>
          <w:lang w:eastAsia="en-GB"/>
        </w:rPr>
        <w:t>ies</w:t>
      </w:r>
      <w:proofErr w:type="spellEnd"/>
      <w:r w:rsidRPr="006530E9">
        <w:rPr>
          <w:bCs/>
          <w:color w:val="000000"/>
          <w:lang w:eastAsia="en-GB"/>
        </w:rPr>
        <w:t xml:space="preserve">)' eligibility, into </w:t>
      </w:r>
      <w:r w:rsidR="00CE18D2" w:rsidRPr="006530E9">
        <w:rPr>
          <w:bCs/>
          <w:color w:val="000000"/>
          <w:lang w:eastAsia="en-GB"/>
        </w:rPr>
        <w:t>English</w:t>
      </w:r>
      <w:r w:rsidRPr="006530E9">
        <w:rPr>
          <w:bCs/>
          <w:color w:val="000000"/>
          <w:lang w:eastAsia="en-GB"/>
        </w:rPr>
        <w:t>.</w:t>
      </w:r>
    </w:p>
    <w:bookmarkEnd w:id="69"/>
    <w:p w14:paraId="22586975" w14:textId="77777777" w:rsidR="00465AA9" w:rsidRDefault="00465AA9" w:rsidP="00F36C74">
      <w:pPr>
        <w:spacing w:after="120" w:line="240" w:lineRule="atLeast"/>
        <w:rPr>
          <w:bCs/>
          <w:color w:val="000000"/>
          <w:lang w:eastAsia="en-GB"/>
        </w:rPr>
      </w:pPr>
      <w:r w:rsidRPr="001B53C9">
        <w:rPr>
          <w:bCs/>
          <w:color w:val="000000"/>
          <w:lang w:eastAsia="en-GB"/>
        </w:rPr>
        <w:t xml:space="preserve">Applicants </w:t>
      </w:r>
      <w:proofErr w:type="gramStart"/>
      <w:r w:rsidRPr="001B53C9">
        <w:rPr>
          <w:bCs/>
          <w:color w:val="000000"/>
          <w:lang w:eastAsia="en-GB"/>
        </w:rPr>
        <w:t>have to</w:t>
      </w:r>
      <w:proofErr w:type="gramEnd"/>
      <w:r w:rsidRPr="001B53C9">
        <w:rPr>
          <w:bCs/>
          <w:color w:val="000000"/>
          <w:lang w:eastAsia="en-GB"/>
        </w:rPr>
        <w:t xml:space="preserve"> take into consideration the time necessary to obtain official documents from national competent authorities and to translate such documents in the authorised languages while registering their data in </w:t>
      </w:r>
      <w:proofErr w:type="spellStart"/>
      <w:r w:rsidRPr="001B53C9">
        <w:rPr>
          <w:bCs/>
          <w:color w:val="000000"/>
          <w:lang w:eastAsia="en-GB"/>
        </w:rPr>
        <w:t>PADOR</w:t>
      </w:r>
      <w:proofErr w:type="spellEnd"/>
      <w:r w:rsidRPr="001B53C9">
        <w:rPr>
          <w:bCs/>
          <w:color w:val="000000"/>
          <w:lang w:eastAsia="en-GB"/>
        </w:rPr>
        <w:t>.</w:t>
      </w:r>
      <w:r w:rsidRPr="009F3B53">
        <w:rPr>
          <w:bCs/>
          <w:color w:val="000000"/>
          <w:lang w:eastAsia="en-GB"/>
        </w:rPr>
        <w:t xml:space="preserve"> </w:t>
      </w:r>
    </w:p>
    <w:p w14:paraId="34D26780" w14:textId="77777777" w:rsidR="00E16F20" w:rsidRPr="00BA6979" w:rsidRDefault="00465AA9" w:rsidP="00F36C74">
      <w:pPr>
        <w:spacing w:after="120" w:line="240" w:lineRule="atLeast"/>
        <w:rPr>
          <w:b/>
          <w:szCs w:val="22"/>
          <w:lang w:eastAsia="en-GB"/>
        </w:rPr>
      </w:pPr>
      <w:r w:rsidRPr="00807DAF">
        <w:rPr>
          <w:szCs w:val="22"/>
        </w:rPr>
        <w:t>If the abovementioned supporting d</w:t>
      </w:r>
      <w:r w:rsidR="004A75FE">
        <w:rPr>
          <w:szCs w:val="22"/>
        </w:rPr>
        <w:t>ocuments are not provided by</w:t>
      </w:r>
      <w:r w:rsidRPr="00807DAF">
        <w:rPr>
          <w:szCs w:val="22"/>
        </w:rPr>
        <w:t xml:space="preserve"> the deadline</w:t>
      </w:r>
      <w:r w:rsidR="004A75FE">
        <w:rPr>
          <w:szCs w:val="22"/>
        </w:rPr>
        <w:t xml:space="preserve"> for the submission of the full application, </w:t>
      </w:r>
      <w:r w:rsidRPr="00807DAF">
        <w:rPr>
          <w:szCs w:val="22"/>
        </w:rPr>
        <w:t>the application may be rejected</w:t>
      </w:r>
      <w:r>
        <w:rPr>
          <w:szCs w:val="22"/>
        </w:rPr>
        <w:t>.</w:t>
      </w:r>
    </w:p>
    <w:p w14:paraId="5CCEFD6F" w14:textId="77777777" w:rsidR="008B4806" w:rsidRPr="00BA6979" w:rsidRDefault="008B4806" w:rsidP="00F61F60">
      <w:pPr>
        <w:pStyle w:val="Guidelines3"/>
        <w:numPr>
          <w:ilvl w:val="2"/>
          <w:numId w:val="6"/>
        </w:numPr>
      </w:pPr>
      <w:bookmarkStart w:id="70" w:name="_Toc185257683"/>
      <w:bookmarkStart w:id="71" w:name="_Toc125454357"/>
      <w:r w:rsidRPr="00BA6979">
        <w:t xml:space="preserve">Where and how to send </w:t>
      </w:r>
      <w:r w:rsidR="003A23FE" w:rsidRPr="00BA6979">
        <w:t>f</w:t>
      </w:r>
      <w:r w:rsidRPr="00BA6979">
        <w:t xml:space="preserve">ull </w:t>
      </w:r>
      <w:r w:rsidR="003A23FE" w:rsidRPr="00BA6979">
        <w:t>a</w:t>
      </w:r>
      <w:r w:rsidRPr="00BA6979">
        <w:t>pplication</w:t>
      </w:r>
      <w:r w:rsidR="003A23FE" w:rsidRPr="00BA6979">
        <w:t>s</w:t>
      </w:r>
      <w:bookmarkEnd w:id="70"/>
      <w:r w:rsidRPr="00BA6979">
        <w:t xml:space="preserve"> </w:t>
      </w:r>
      <w:bookmarkEnd w:id="71"/>
    </w:p>
    <w:p w14:paraId="0BDD7A26" w14:textId="77777777" w:rsidR="00BE2542" w:rsidRPr="00423CB3" w:rsidRDefault="00BE2542" w:rsidP="00F36C74">
      <w:pPr>
        <w:spacing w:after="120" w:line="240" w:lineRule="atLeast"/>
      </w:pPr>
      <w:r w:rsidRPr="00FE05D4">
        <w:t xml:space="preserve">Full </w:t>
      </w:r>
      <w:r>
        <w:t>a</w:t>
      </w:r>
      <w:r w:rsidRPr="00FE05D4">
        <w:t>pplication</w:t>
      </w:r>
      <w:r w:rsidR="000F1310">
        <w:t>s</w:t>
      </w:r>
      <w:r>
        <w:t xml:space="preserve"> </w:t>
      </w:r>
      <w:r w:rsidR="000F1310">
        <w:t xml:space="preserve">(i.e. the full application </w:t>
      </w:r>
      <w:r>
        <w:t>form</w:t>
      </w:r>
      <w:r w:rsidR="000F1310">
        <w:t xml:space="preserve">, </w:t>
      </w:r>
      <w:proofErr w:type="spellStart"/>
      <w:r w:rsidR="006C2335">
        <w:t>PADOR</w:t>
      </w:r>
      <w:proofErr w:type="spellEnd"/>
      <w:r w:rsidR="006C2335">
        <w:t xml:space="preserve"> </w:t>
      </w:r>
      <w:r w:rsidR="00FB5B6A">
        <w:t>registration</w:t>
      </w:r>
      <w:r w:rsidR="006C2335">
        <w:t xml:space="preserve"> form (where applicable)</w:t>
      </w:r>
      <w:bookmarkStart w:id="72" w:name="_Ref164266883"/>
      <w:r w:rsidR="0051180F">
        <w:rPr>
          <w:rStyle w:val="FootnoteReference"/>
        </w:rPr>
        <w:footnoteReference w:id="31"/>
      </w:r>
      <w:bookmarkEnd w:id="72"/>
      <w:r w:rsidR="006C2335">
        <w:t>,</w:t>
      </w:r>
      <w:r w:rsidR="00420D0B">
        <w:t xml:space="preserve"> </w:t>
      </w:r>
      <w:r>
        <w:t>the budget</w:t>
      </w:r>
      <w:r w:rsidR="00420D0B">
        <w:t>,</w:t>
      </w:r>
      <w:r>
        <w:t xml:space="preserve"> the logical framework</w:t>
      </w:r>
      <w:r w:rsidR="00420D0B">
        <w:t>,</w:t>
      </w:r>
      <w:r>
        <w:t xml:space="preserve"> </w:t>
      </w:r>
      <w:r w:rsidR="00BC6D74">
        <w:t xml:space="preserve">the declaration on honour on exclusion criteria, </w:t>
      </w:r>
      <w:r>
        <w:t>and the declaration by the lead applicant</w:t>
      </w:r>
      <w:r w:rsidR="000F1310">
        <w:t>)</w:t>
      </w:r>
      <w:r>
        <w:t xml:space="preserve"> must</w:t>
      </w:r>
      <w:r w:rsidRPr="00FE05D4">
        <w:t xml:space="preserve"> be submitted online via PROSPECT </w:t>
      </w:r>
      <w:hyperlink r:id="rId30" w:history="1">
        <w:r w:rsidR="00F874BB" w:rsidRPr="00556E3A">
          <w:rPr>
            <w:rStyle w:val="Hyperlink"/>
          </w:rPr>
          <w:t>https://webgate.ec.europa.eu/prospect</w:t>
        </w:r>
      </w:hyperlink>
      <w:r w:rsidR="00F874BB">
        <w:t xml:space="preserve"> </w:t>
      </w:r>
      <w:r w:rsidRPr="00FE05D4">
        <w:t xml:space="preserve">following the instructions given in the </w:t>
      </w:r>
      <w:r w:rsidR="00661497">
        <w:t xml:space="preserve">PROSPECT </w:t>
      </w:r>
      <w:r w:rsidRPr="00FE05D4">
        <w:t>users</w:t>
      </w:r>
      <w:r w:rsidRPr="00D52530">
        <w:t>’</w:t>
      </w:r>
      <w:r w:rsidRPr="00FE05D4">
        <w:t xml:space="preserve"> manual</w:t>
      </w:r>
      <w:r>
        <w:t>.</w:t>
      </w:r>
    </w:p>
    <w:p w14:paraId="4AA3A9B8" w14:textId="77777777" w:rsidR="00F83818" w:rsidRPr="001B7D50" w:rsidRDefault="00BE2542" w:rsidP="00F36C74">
      <w:pPr>
        <w:spacing w:after="120" w:line="240" w:lineRule="atLeast"/>
        <w:rPr>
          <w:lang w:val="en-IE"/>
        </w:rPr>
      </w:pPr>
      <w:r w:rsidRPr="00FE05D4">
        <w:t xml:space="preserve">Upon submission of the </w:t>
      </w:r>
      <w:r>
        <w:t>f</w:t>
      </w:r>
      <w:r w:rsidRPr="00FE05D4">
        <w:t xml:space="preserve">ull </w:t>
      </w:r>
      <w:r>
        <w:t>a</w:t>
      </w:r>
      <w:r w:rsidRPr="00FE05D4">
        <w:t xml:space="preserve">pplication online, </w:t>
      </w:r>
      <w:r>
        <w:t>the lead a</w:t>
      </w:r>
      <w:r w:rsidRPr="00FE05D4">
        <w:t>pplicants will receive an automatic confirmation of receipt in their PROSPECT profile.</w:t>
      </w:r>
      <w:r>
        <w:t xml:space="preserve"> </w:t>
      </w:r>
      <w:bookmarkStart w:id="73" w:name="_Hlk164276080"/>
      <w:r w:rsidR="0051180F">
        <w:t xml:space="preserve">The other supporting documents, except the declaration on honour on exclusion criteria, shall be uploaded in </w:t>
      </w:r>
      <w:proofErr w:type="spellStart"/>
      <w:r w:rsidR="0051180F">
        <w:t>PADOR</w:t>
      </w:r>
      <w:proofErr w:type="spellEnd"/>
      <w:r w:rsidR="0051180F">
        <w:rPr>
          <w:rStyle w:val="FootnoteReference"/>
        </w:rPr>
        <w:footnoteReference w:id="32"/>
      </w:r>
      <w:r w:rsidR="0051180F">
        <w:t xml:space="preserve">. </w:t>
      </w:r>
      <w:bookmarkEnd w:id="73"/>
    </w:p>
    <w:p w14:paraId="7D9EBE31" w14:textId="77777777" w:rsidR="008B4806" w:rsidRPr="00BA6979" w:rsidRDefault="008B4806" w:rsidP="00F61F60">
      <w:pPr>
        <w:pStyle w:val="Guidelines3"/>
        <w:numPr>
          <w:ilvl w:val="2"/>
          <w:numId w:val="6"/>
        </w:numPr>
      </w:pPr>
      <w:bookmarkStart w:id="74" w:name="_Toc185257684"/>
      <w:bookmarkStart w:id="75" w:name="_Toc125454358"/>
      <w:r w:rsidRPr="00BA6979">
        <w:t>Deadline for</w:t>
      </w:r>
      <w:r w:rsidR="006548FC" w:rsidRPr="00BA6979">
        <w:t xml:space="preserve"> submission</w:t>
      </w:r>
      <w:r w:rsidRPr="00BA6979">
        <w:t xml:space="preserve"> of</w:t>
      </w:r>
      <w:r w:rsidR="001507E7" w:rsidRPr="00BA6979">
        <w:t xml:space="preserve"> </w:t>
      </w:r>
      <w:r w:rsidR="00661830" w:rsidRPr="00BA6979">
        <w:t>f</w:t>
      </w:r>
      <w:r w:rsidR="001507E7" w:rsidRPr="00BA6979">
        <w:t xml:space="preserve">ull </w:t>
      </w:r>
      <w:r w:rsidR="00661830" w:rsidRPr="00BA6979">
        <w:t>a</w:t>
      </w:r>
      <w:r w:rsidRPr="00BA6979">
        <w:t>pplication</w:t>
      </w:r>
      <w:r w:rsidR="00661830" w:rsidRPr="00BA6979">
        <w:t>s</w:t>
      </w:r>
      <w:bookmarkEnd w:id="74"/>
      <w:r w:rsidR="001507E7" w:rsidRPr="00BA6979">
        <w:t xml:space="preserve"> </w:t>
      </w:r>
      <w:bookmarkEnd w:id="75"/>
    </w:p>
    <w:p w14:paraId="4DF35B4E" w14:textId="77777777" w:rsidR="00235015" w:rsidRPr="00FE05D4" w:rsidRDefault="00235015" w:rsidP="00F36C74">
      <w:pPr>
        <w:spacing w:after="120" w:line="240" w:lineRule="atLeast"/>
      </w:pPr>
      <w:r w:rsidRPr="00FE05D4">
        <w:t xml:space="preserve">The deadline for the submission of </w:t>
      </w:r>
      <w:r>
        <w:t xml:space="preserve">full </w:t>
      </w:r>
      <w:r w:rsidRPr="00FE05D4">
        <w:t xml:space="preserve">applications will be indicated in the letter sent to the </w:t>
      </w:r>
      <w:r>
        <w:t>lead a</w:t>
      </w:r>
      <w:r w:rsidRPr="00FE05D4">
        <w:t xml:space="preserve">pplicants whose application has been pre-selected. This letter will appear online automatically in the PROSPECT profile of the </w:t>
      </w:r>
      <w:r>
        <w:t>lead a</w:t>
      </w:r>
      <w:r w:rsidRPr="00FE05D4">
        <w:t xml:space="preserve">pplicant. </w:t>
      </w:r>
    </w:p>
    <w:p w14:paraId="0C02A2C5" w14:textId="77777777" w:rsidR="00235015" w:rsidRPr="00FE05D4" w:rsidRDefault="00235015" w:rsidP="00F36C74">
      <w:pPr>
        <w:spacing w:after="120" w:line="240" w:lineRule="atLeast"/>
      </w:pPr>
      <w:r>
        <w:rPr>
          <w:b/>
        </w:rPr>
        <w:t>Lead a</w:t>
      </w:r>
      <w:r w:rsidRPr="007904B1">
        <w:rPr>
          <w:b/>
        </w:rPr>
        <w:t xml:space="preserve">pplicants are strongly advised not to wait until the last day to submit their </w:t>
      </w:r>
      <w:r>
        <w:rPr>
          <w:b/>
        </w:rPr>
        <w:t>f</w:t>
      </w:r>
      <w:r w:rsidRPr="007904B1">
        <w:rPr>
          <w:b/>
        </w:rPr>
        <w:t xml:space="preserve">ull </w:t>
      </w:r>
      <w:r>
        <w:rPr>
          <w:b/>
        </w:rPr>
        <w:t>a</w:t>
      </w:r>
      <w:r w:rsidRPr="007904B1">
        <w:rPr>
          <w:b/>
        </w:rPr>
        <w:t>pplications</w:t>
      </w:r>
      <w:r w:rsidRPr="00FE05D4">
        <w:t xml:space="preserve">, since heavy Internet traffic or a fault with the Internet connection (including electricity failure, etc.) could lead to difficulties in submission. The Contacting Authority cannot be held responsible for any delay due to such afore-mentioned difficulties. </w:t>
      </w:r>
    </w:p>
    <w:p w14:paraId="5C2B1477" w14:textId="77777777" w:rsidR="00B41A93" w:rsidRPr="00807DAF" w:rsidRDefault="00235015" w:rsidP="00F36C74">
      <w:pPr>
        <w:spacing w:after="120" w:line="240" w:lineRule="atLeast"/>
      </w:pPr>
      <w:r w:rsidRPr="00FE05D4">
        <w:t xml:space="preserve">Any application submitted after the deadline will be rejected. </w:t>
      </w:r>
      <w:r w:rsidR="00B41A93" w:rsidRPr="00807DAF">
        <w:t xml:space="preserve"> </w:t>
      </w:r>
    </w:p>
    <w:p w14:paraId="7BBCFC35" w14:textId="77777777" w:rsidR="008B4806" w:rsidRPr="00BA6979" w:rsidRDefault="008B4806" w:rsidP="00F61F60">
      <w:pPr>
        <w:pStyle w:val="Guidelines3"/>
        <w:numPr>
          <w:ilvl w:val="2"/>
          <w:numId w:val="6"/>
        </w:numPr>
      </w:pPr>
      <w:bookmarkStart w:id="76" w:name="_Toc185257685"/>
      <w:bookmarkStart w:id="77" w:name="_Toc125454359"/>
      <w:r w:rsidRPr="00BA6979">
        <w:t>Further informatio</w:t>
      </w:r>
      <w:r w:rsidR="001507E7" w:rsidRPr="00BA6979">
        <w:t xml:space="preserve">n </w:t>
      </w:r>
      <w:r w:rsidR="00000396" w:rsidRPr="00BA6979">
        <w:t>about</w:t>
      </w:r>
      <w:r w:rsidR="001507E7" w:rsidRPr="00BA6979">
        <w:t xml:space="preserve"> </w:t>
      </w:r>
      <w:r w:rsidR="00661830" w:rsidRPr="00BA6979">
        <w:t>f</w:t>
      </w:r>
      <w:r w:rsidR="001507E7" w:rsidRPr="00BA6979">
        <w:t xml:space="preserve">ull </w:t>
      </w:r>
      <w:r w:rsidR="00661830" w:rsidRPr="00BA6979">
        <w:t>a</w:t>
      </w:r>
      <w:r w:rsidR="001507E7" w:rsidRPr="00BA6979">
        <w:t>pplication</w:t>
      </w:r>
      <w:r w:rsidR="00661830" w:rsidRPr="00BA6979">
        <w:t>s</w:t>
      </w:r>
      <w:bookmarkEnd w:id="76"/>
      <w:r w:rsidR="001507E7" w:rsidRPr="00BA6979">
        <w:t xml:space="preserve"> </w:t>
      </w:r>
      <w:bookmarkEnd w:id="77"/>
    </w:p>
    <w:p w14:paraId="1C247B70" w14:textId="77777777" w:rsidR="008B4806" w:rsidRPr="00BA6979" w:rsidRDefault="008B4806" w:rsidP="00F36C74">
      <w:pPr>
        <w:spacing w:after="120" w:line="240" w:lineRule="atLeast"/>
      </w:pPr>
      <w:r w:rsidRPr="00BA6979">
        <w:t xml:space="preserve">Questions may be sent by e-mail no later than 21 days before the deadline for the </w:t>
      </w:r>
      <w:r w:rsidR="00CA6D19" w:rsidRPr="00BA6979">
        <w:t xml:space="preserve">submission </w:t>
      </w:r>
      <w:r w:rsidRPr="00BA6979">
        <w:t xml:space="preserve">of </w:t>
      </w:r>
      <w:r w:rsidR="00661830" w:rsidRPr="00BA6979">
        <w:t xml:space="preserve">full </w:t>
      </w:r>
      <w:r w:rsidR="006459C5" w:rsidRPr="00BA6979">
        <w:t>application</w:t>
      </w:r>
      <w:r w:rsidRPr="00BA6979">
        <w:t xml:space="preserve">s to the addresses listed below, indicating clearly the reference of the </w:t>
      </w:r>
      <w:r w:rsidR="00661830" w:rsidRPr="00BA6979">
        <w:t>c</w:t>
      </w:r>
      <w:r w:rsidR="001D0C7B" w:rsidRPr="00BA6979">
        <w:t xml:space="preserve">all for </w:t>
      </w:r>
      <w:r w:rsidR="00661830" w:rsidRPr="00BA6979">
        <w:t>p</w:t>
      </w:r>
      <w:r w:rsidR="001D0C7B" w:rsidRPr="00BA6979">
        <w:t>roposals</w:t>
      </w:r>
      <w:r w:rsidRPr="00BA6979">
        <w:t>:</w:t>
      </w:r>
    </w:p>
    <w:p w14:paraId="3EA026AB" w14:textId="77777777" w:rsidR="008B4806" w:rsidRPr="00BA6979" w:rsidRDefault="008B4806" w:rsidP="00F36C74">
      <w:pPr>
        <w:spacing w:after="120" w:line="240" w:lineRule="atLeast"/>
        <w:ind w:left="709"/>
      </w:pPr>
      <w:r w:rsidRPr="00BA6979">
        <w:t>E-mail address:</w:t>
      </w:r>
      <w:r w:rsidR="002F3F27" w:rsidRPr="00BA6979">
        <w:t xml:space="preserve"> </w:t>
      </w:r>
      <w:r w:rsidR="005E4E44" w:rsidRPr="0007498A">
        <w:rPr>
          <w:b/>
          <w:noProof/>
          <w:szCs w:val="22"/>
        </w:rPr>
        <w:t>DELEGATION-UKRAINE-CIVILSOCIETY@eeas.europa.eu</w:t>
      </w:r>
    </w:p>
    <w:p w14:paraId="20F843B1" w14:textId="77777777" w:rsidR="007C4720" w:rsidRPr="00BA6979" w:rsidRDefault="007C4720" w:rsidP="00F36C74">
      <w:pPr>
        <w:spacing w:after="120" w:line="240" w:lineRule="atLeast"/>
      </w:pPr>
      <w:r w:rsidRPr="00BA6979">
        <w:t xml:space="preserve">The </w:t>
      </w:r>
      <w:r w:rsidR="00221350" w:rsidRPr="00BA6979">
        <w:t>c</w:t>
      </w:r>
      <w:r w:rsidRPr="00BA6979">
        <w:t xml:space="preserve">ontracting </w:t>
      </w:r>
      <w:r w:rsidR="00221350" w:rsidRPr="00BA6979">
        <w:t>a</w:t>
      </w:r>
      <w:r w:rsidRPr="00BA6979">
        <w:t>uthority has no obligation to provide clarifications to questions received after this date.</w:t>
      </w:r>
    </w:p>
    <w:p w14:paraId="6F49A168" w14:textId="77777777" w:rsidR="008B4806" w:rsidRPr="00BA6979" w:rsidRDefault="008B4806" w:rsidP="00F36C74">
      <w:pPr>
        <w:spacing w:after="120" w:line="240" w:lineRule="atLeast"/>
      </w:pPr>
      <w:r w:rsidRPr="00BA6979">
        <w:t xml:space="preserve">Replies will be given no later than 11 days before the deadline for the </w:t>
      </w:r>
      <w:r w:rsidR="00CA6D19" w:rsidRPr="00BA6979">
        <w:t xml:space="preserve">submission </w:t>
      </w:r>
      <w:r w:rsidRPr="00BA6979">
        <w:t xml:space="preserve">of </w:t>
      </w:r>
      <w:r w:rsidR="00661830" w:rsidRPr="00BA6979">
        <w:t xml:space="preserve">full </w:t>
      </w:r>
      <w:r w:rsidR="006459C5" w:rsidRPr="00BA6979">
        <w:t>application</w:t>
      </w:r>
      <w:r w:rsidRPr="00BA6979">
        <w:t xml:space="preserve">s. </w:t>
      </w:r>
    </w:p>
    <w:p w14:paraId="76C21740" w14:textId="77777777" w:rsidR="00376E92" w:rsidRPr="00BA6979" w:rsidRDefault="0040484C" w:rsidP="00F36C74">
      <w:pPr>
        <w:spacing w:after="120" w:line="240" w:lineRule="atLeast"/>
      </w:pPr>
      <w:r w:rsidRPr="00BA6979">
        <w:t>To ensure</w:t>
      </w:r>
      <w:r w:rsidR="008B4806" w:rsidRPr="00BA6979">
        <w:t xml:space="preserve"> equal treatment of applicants, the </w:t>
      </w:r>
      <w:r w:rsidR="00221350" w:rsidRPr="00BA6979">
        <w:t>c</w:t>
      </w:r>
      <w:r w:rsidR="008B4806" w:rsidRPr="00BA6979">
        <w:t xml:space="preserve">ontracting </w:t>
      </w:r>
      <w:r w:rsidR="00221350" w:rsidRPr="00BA6979">
        <w:t>a</w:t>
      </w:r>
      <w:r w:rsidR="008B4806" w:rsidRPr="00BA6979">
        <w:t xml:space="preserve">uthority cannot give a prior opinion on the eligibility of </w:t>
      </w:r>
      <w:r w:rsidR="00B114D9" w:rsidRPr="00BA6979">
        <w:t>lead a</w:t>
      </w:r>
      <w:r w:rsidR="008B4806" w:rsidRPr="00BA6979">
        <w:t>pplicant</w:t>
      </w:r>
      <w:r w:rsidR="000D40CC" w:rsidRPr="00BA6979">
        <w:t>s</w:t>
      </w:r>
      <w:r w:rsidR="00661830" w:rsidRPr="00BA6979">
        <w:t>, co-applicants</w:t>
      </w:r>
      <w:r w:rsidR="008B4806" w:rsidRPr="00BA6979">
        <w:t xml:space="preserve">, </w:t>
      </w:r>
      <w:r w:rsidR="000D40CC" w:rsidRPr="00BA6979">
        <w:t>affiliated entity(</w:t>
      </w:r>
      <w:proofErr w:type="spellStart"/>
      <w:r w:rsidR="000D40CC" w:rsidRPr="00BA6979">
        <w:t>ies</w:t>
      </w:r>
      <w:proofErr w:type="spellEnd"/>
      <w:r w:rsidR="000D40CC" w:rsidRPr="00BA6979">
        <w:t xml:space="preserve">), </w:t>
      </w:r>
      <w:r w:rsidR="008B4806" w:rsidRPr="00BA6979">
        <w:t>or an action.</w:t>
      </w:r>
    </w:p>
    <w:p w14:paraId="0F02F7DA" w14:textId="77777777" w:rsidR="005436B3" w:rsidRPr="00BA6979" w:rsidRDefault="00376E92" w:rsidP="00F36C74">
      <w:pPr>
        <w:spacing w:after="120" w:line="240" w:lineRule="atLeast"/>
        <w:rPr>
          <w:szCs w:val="22"/>
        </w:rPr>
      </w:pPr>
      <w:r w:rsidRPr="00BA6979">
        <w:t>No individual replies will be given to questions. All questions and answers as well as other important notices to applicants during the course of the evaluation procedure</w:t>
      </w:r>
      <w:r w:rsidR="008B4806" w:rsidRPr="00BA6979">
        <w:t>, will be published on the</w:t>
      </w:r>
      <w:r w:rsidR="001249D9" w:rsidRPr="00BA6979">
        <w:t xml:space="preserve"> </w:t>
      </w:r>
      <w:r w:rsidR="008B4806" w:rsidRPr="00BA6979">
        <w:t>website</w:t>
      </w:r>
      <w:r w:rsidR="001249D9" w:rsidRPr="00BA6979">
        <w:t xml:space="preserve"> of DG International</w:t>
      </w:r>
      <w:r w:rsidR="0027264B">
        <w:t xml:space="preserve"> Partnerships</w:t>
      </w:r>
      <w:r w:rsidR="001249D9" w:rsidRPr="00BA6979">
        <w:t>:</w:t>
      </w:r>
      <w:r w:rsidR="009C3DFC" w:rsidRPr="00BA6979">
        <w:t xml:space="preserve"> </w:t>
      </w:r>
      <w:hyperlink r:id="rId31" w:history="1">
        <w:r w:rsidR="0041369D" w:rsidRPr="009C76F9">
          <w:rPr>
            <w:rStyle w:val="Hyperlink"/>
            <w:szCs w:val="22"/>
          </w:rPr>
          <w:t>https://ec.europa.eu/international-partnerships/home_fr</w:t>
        </w:r>
      </w:hyperlink>
      <w:r w:rsidR="0041369D">
        <w:rPr>
          <w:szCs w:val="22"/>
        </w:rPr>
        <w:t xml:space="preserve"> </w:t>
      </w:r>
      <w:r w:rsidR="005436B3">
        <w:rPr>
          <w:szCs w:val="22"/>
        </w:rPr>
        <w:t>and/</w:t>
      </w:r>
      <w:r w:rsidR="005436B3" w:rsidRPr="00232301">
        <w:rPr>
          <w:szCs w:val="22"/>
        </w:rPr>
        <w:t xml:space="preserve">or </w:t>
      </w:r>
      <w:r w:rsidR="005436B3" w:rsidRPr="00933F69">
        <w:t xml:space="preserve">Funding &amp; </w:t>
      </w:r>
      <w:r w:rsidR="005436B3">
        <w:t>T</w:t>
      </w:r>
      <w:r w:rsidR="005436B3" w:rsidRPr="00232301">
        <w:t>ender opportunities (</w:t>
      </w:r>
      <w:proofErr w:type="spellStart"/>
      <w:r w:rsidR="005436B3" w:rsidRPr="00232301">
        <w:t>F&amp;T</w:t>
      </w:r>
      <w:proofErr w:type="spellEnd"/>
      <w:r w:rsidR="005436B3" w:rsidRPr="00232301">
        <w:t xml:space="preserve"> Portal)</w:t>
      </w:r>
      <w:r w:rsidR="005436B3" w:rsidRPr="00832ACF">
        <w:rPr>
          <w:szCs w:val="22"/>
          <w:u w:val="single"/>
        </w:rPr>
        <w:t xml:space="preserve"> </w:t>
      </w:r>
      <w:hyperlink r:id="rId32" w:history="1">
        <w:r w:rsidR="005436B3" w:rsidRPr="00832ACF">
          <w:rPr>
            <w:rStyle w:val="Hyperlink"/>
            <w:szCs w:val="22"/>
          </w:rPr>
          <w:t>https://ec.europa.eu/info/funding-tenders/opportunities/portal/screen/home</w:t>
        </w:r>
      </w:hyperlink>
      <w:r w:rsidR="002D7F4A" w:rsidRPr="0007498A">
        <w:t>,</w:t>
      </w:r>
      <w:r w:rsidR="002D7F4A" w:rsidRPr="00BA6979">
        <w:t xml:space="preserve"> as the need arises</w:t>
      </w:r>
      <w:r w:rsidR="009C3DFC" w:rsidRPr="00BA6979">
        <w:t>.</w:t>
      </w:r>
      <w:r w:rsidR="002128D0" w:rsidRPr="00BA6979">
        <w:t xml:space="preserve"> It is therefore </w:t>
      </w:r>
      <w:r w:rsidR="0040484C" w:rsidRPr="00BA6979">
        <w:t>advisable</w:t>
      </w:r>
      <w:r w:rsidR="002128D0" w:rsidRPr="00BA6979">
        <w:t xml:space="preserve"> to consult the abovementioned website</w:t>
      </w:r>
      <w:r w:rsidR="0040484C" w:rsidRPr="00BA6979">
        <w:t xml:space="preserve"> regularly</w:t>
      </w:r>
      <w:r w:rsidR="002128D0" w:rsidRPr="00BA6979">
        <w:t xml:space="preserve"> </w:t>
      </w:r>
      <w:proofErr w:type="gramStart"/>
      <w:r w:rsidR="002128D0" w:rsidRPr="00BA6979">
        <w:t>in order to</w:t>
      </w:r>
      <w:proofErr w:type="gramEnd"/>
      <w:r w:rsidR="002128D0" w:rsidRPr="00BA6979">
        <w:t xml:space="preserve"> be informed of the q</w:t>
      </w:r>
      <w:r w:rsidR="00A6547C" w:rsidRPr="00BA6979">
        <w:t>uestions and answers published.</w:t>
      </w:r>
    </w:p>
    <w:p w14:paraId="7FEB1493" w14:textId="77777777" w:rsidR="001558C4" w:rsidRDefault="00045368" w:rsidP="00F36C74">
      <w:pPr>
        <w:spacing w:after="120" w:line="240" w:lineRule="atLeast"/>
        <w:rPr>
          <w:szCs w:val="22"/>
        </w:rPr>
      </w:pPr>
      <w:r w:rsidRPr="00FE05D4">
        <w:t xml:space="preserve">All questions related to registration in </w:t>
      </w:r>
      <w:proofErr w:type="spellStart"/>
      <w:r w:rsidRPr="00FE05D4">
        <w:t>PADOR</w:t>
      </w:r>
      <w:proofErr w:type="spellEnd"/>
      <w:r w:rsidRPr="00FE05D4">
        <w:t xml:space="preserve"> or the online submission via PROSPECT should be addressed to the IT helpdesk at</w:t>
      </w:r>
      <w:r w:rsidR="005E4863">
        <w:t xml:space="preserve"> </w:t>
      </w:r>
      <w:hyperlink r:id="rId33" w:history="1">
        <w:r w:rsidR="005E4863" w:rsidRPr="005E4863">
          <w:rPr>
            <w:rStyle w:val="Hyperlink"/>
            <w:lang w:val="en-IE"/>
          </w:rPr>
          <w:t>ec-external-relations-application-support@ec.europa.eu</w:t>
        </w:r>
      </w:hyperlink>
      <w:r w:rsidR="005E4863">
        <w:rPr>
          <w:lang w:val="en-IE"/>
        </w:rPr>
        <w:t xml:space="preserve"> </w:t>
      </w:r>
      <w:hyperlink r:id="rId34" w:history="1">
        <w:r w:rsidR="003B2CA1" w:rsidRPr="003B2CA1">
          <w:rPr>
            <w:rStyle w:val="Hyperlink"/>
          </w:rPr>
          <w:t>mailto:</w:t>
        </w:r>
      </w:hyperlink>
      <w:r>
        <w:rPr>
          <w:b/>
        </w:rPr>
        <w:t>via the online support form in PROSPECT.</w:t>
      </w:r>
      <w:r>
        <w:t xml:space="preserve"> Please note that the working languages of the IT support are English French and Spanish. </w:t>
      </w:r>
      <w:proofErr w:type="gramStart"/>
      <w:r>
        <w:t>Therefore</w:t>
      </w:r>
      <w:proofErr w:type="gramEnd"/>
      <w:r>
        <w:t xml:space="preserve"> users are invited to send their questions in English, French or Spanish should they wish to benefit from an optimum response time.</w:t>
      </w:r>
      <w:bookmarkStart w:id="78" w:name="_Hlk163810152"/>
      <w:r w:rsidR="001558C4" w:rsidRPr="00517845">
        <w:rPr>
          <w:szCs w:val="22"/>
        </w:rPr>
        <w:t xml:space="preserve"> </w:t>
      </w:r>
    </w:p>
    <w:p w14:paraId="788135F2" w14:textId="77777777" w:rsidR="00937483" w:rsidRDefault="00937483" w:rsidP="00F36C74">
      <w:pPr>
        <w:spacing w:after="120" w:line="240" w:lineRule="atLeast"/>
        <w:rPr>
          <w:szCs w:val="22"/>
        </w:rPr>
      </w:pPr>
      <w:r w:rsidRPr="006769D7">
        <w:rPr>
          <w:snapToGrid w:val="0"/>
          <w:szCs w:val="22"/>
        </w:rPr>
        <w:lastRenderedPageBreak/>
        <w:t xml:space="preserve">Please note that the contracting authority may decide to cancel the call for proposals procedure at any stage according to the conditions set out in Section 6.5.9 of the </w:t>
      </w:r>
      <w:r>
        <w:rPr>
          <w:snapToGrid w:val="0"/>
          <w:szCs w:val="22"/>
        </w:rPr>
        <w:t>practical guide.</w:t>
      </w:r>
    </w:p>
    <w:p w14:paraId="0FFF9082" w14:textId="77777777" w:rsidR="0007408E" w:rsidRPr="00807DAF" w:rsidRDefault="0007408E" w:rsidP="00F61F60">
      <w:pPr>
        <w:pStyle w:val="Guidelines2"/>
        <w:numPr>
          <w:ilvl w:val="1"/>
          <w:numId w:val="6"/>
        </w:numPr>
        <w:rPr>
          <w:i/>
        </w:rPr>
      </w:pPr>
      <w:bookmarkStart w:id="79" w:name="_Toc185257686"/>
      <w:bookmarkStart w:id="80" w:name="_Toc40507653"/>
      <w:bookmarkEnd w:id="78"/>
      <w:r w:rsidRPr="00807DAF">
        <w:t>Evaluation</w:t>
      </w:r>
      <w:bookmarkEnd w:id="79"/>
      <w:r w:rsidRPr="00807DAF">
        <w:t xml:space="preserve"> </w:t>
      </w:r>
      <w:bookmarkEnd w:id="80"/>
    </w:p>
    <w:p w14:paraId="5A578DFD" w14:textId="77777777" w:rsidR="0007408E" w:rsidRPr="00807DAF" w:rsidRDefault="0007408E" w:rsidP="00F36C74">
      <w:pPr>
        <w:spacing w:after="120" w:line="240" w:lineRule="atLeast"/>
      </w:pPr>
      <w:r w:rsidRPr="00807DAF">
        <w:t xml:space="preserve">Applications will be examined and evaluated by the </w:t>
      </w:r>
      <w:r w:rsidR="00221350">
        <w:t>c</w:t>
      </w:r>
      <w:r w:rsidRPr="00807DAF">
        <w:t xml:space="preserve">ontracting </w:t>
      </w:r>
      <w:r w:rsidR="00221350">
        <w:t>a</w:t>
      </w:r>
      <w:r w:rsidRPr="00807DAF">
        <w:t xml:space="preserve">uthority with the possible assistance of assessors. </w:t>
      </w:r>
      <w:r w:rsidR="007C4578">
        <w:t xml:space="preserve">All applications </w:t>
      </w:r>
      <w:r w:rsidRPr="00807DAF">
        <w:t xml:space="preserve">will be assessed according to the following </w:t>
      </w:r>
      <w:r w:rsidR="00C67E04" w:rsidRPr="00807DAF">
        <w:t>steps</w:t>
      </w:r>
      <w:r w:rsidR="00671019" w:rsidRPr="00807DAF">
        <w:t xml:space="preserve"> and criteria</w:t>
      </w:r>
      <w:r w:rsidR="00E17C2A" w:rsidRPr="00807DAF">
        <w:t>.</w:t>
      </w:r>
    </w:p>
    <w:p w14:paraId="6BEEF6AD" w14:textId="77777777" w:rsidR="00050E48" w:rsidRDefault="00050E48" w:rsidP="00F36C74">
      <w:pPr>
        <w:spacing w:after="120" w:line="240" w:lineRule="atLeast"/>
      </w:pPr>
      <w:r w:rsidRPr="00807DAF">
        <w:t xml:space="preserve">If the examination of the application reveals that the proposed action does not meet the </w:t>
      </w:r>
      <w:r w:rsidRPr="00807DAF">
        <w:rPr>
          <w:u w:val="single"/>
        </w:rPr>
        <w:t>eligibility criteria</w:t>
      </w:r>
      <w:r w:rsidRPr="00807DAF">
        <w:t xml:space="preserve"> stated in </w:t>
      </w:r>
      <w:r w:rsidR="00221350">
        <w:t>S</w:t>
      </w:r>
      <w:r w:rsidR="007C4578">
        <w:t>ection</w:t>
      </w:r>
      <w:r w:rsidR="007C4578" w:rsidRPr="00807DAF">
        <w:t xml:space="preserve"> </w:t>
      </w:r>
      <w:r w:rsidRPr="00807DAF">
        <w:t xml:space="preserve">2.1, the application </w:t>
      </w:r>
      <w:r w:rsidR="001151FE" w:rsidRPr="00807DAF">
        <w:t xml:space="preserve">will </w:t>
      </w:r>
      <w:r w:rsidRPr="00807DAF">
        <w:t>be rejected on this sole basis.</w:t>
      </w:r>
      <w:r w:rsidR="00B71C4B">
        <w:t xml:space="preserve"> </w:t>
      </w:r>
    </w:p>
    <w:p w14:paraId="497A4DE6" w14:textId="77777777" w:rsidR="0000050E" w:rsidRPr="0000050E" w:rsidRDefault="0000050E" w:rsidP="00F61F60">
      <w:pPr>
        <w:pStyle w:val="Guidelines3"/>
        <w:numPr>
          <w:ilvl w:val="2"/>
          <w:numId w:val="6"/>
        </w:numPr>
      </w:pPr>
      <w:bookmarkStart w:id="81" w:name="_Toc185257687"/>
      <w:r w:rsidRPr="001B7D50">
        <w:t>STEP 1:</w:t>
      </w:r>
      <w:r>
        <w:t xml:space="preserve"> </w:t>
      </w:r>
      <w:r w:rsidRPr="001B7D50">
        <w:t>ADMINISTRATIVE CHECKS AND CONCEPT NOTE EVALUATION</w:t>
      </w:r>
      <w:bookmarkEnd w:id="81"/>
    </w:p>
    <w:p w14:paraId="740B3E8D" w14:textId="77777777" w:rsidR="00402677" w:rsidRPr="00807DAF" w:rsidRDefault="007C4578" w:rsidP="00F61F60">
      <w:pPr>
        <w:numPr>
          <w:ilvl w:val="0"/>
          <w:numId w:val="13"/>
        </w:numPr>
        <w:tabs>
          <w:tab w:val="left" w:pos="426"/>
          <w:tab w:val="left" w:pos="1134"/>
        </w:tabs>
        <w:spacing w:after="120" w:line="240" w:lineRule="atLeast"/>
        <w:ind w:left="0" w:firstLine="0"/>
      </w:pPr>
      <w:r>
        <w:t>During the</w:t>
      </w:r>
      <w:r w:rsidR="00C34EA3">
        <w:t xml:space="preserve"> [</w:t>
      </w:r>
      <w:r w:rsidRPr="00BA6979">
        <w:t>opening and</w:t>
      </w:r>
      <w:r w:rsidR="00C34EA3" w:rsidRPr="00BA6979">
        <w:t>]</w:t>
      </w:r>
      <w:r w:rsidR="00C34EA3">
        <w:t xml:space="preserve"> </w:t>
      </w:r>
      <w:r>
        <w:t>administrative check t</w:t>
      </w:r>
      <w:r w:rsidR="0059080E" w:rsidRPr="00807DAF">
        <w:t>he following will be assessed:</w:t>
      </w:r>
    </w:p>
    <w:p w14:paraId="6E6BAACB" w14:textId="77777777" w:rsidR="00A762B5" w:rsidRPr="00807DAF" w:rsidRDefault="002F51A9" w:rsidP="00F61F60">
      <w:pPr>
        <w:numPr>
          <w:ilvl w:val="2"/>
          <w:numId w:val="14"/>
        </w:numPr>
        <w:spacing w:after="120" w:line="240" w:lineRule="atLeast"/>
        <w:ind w:left="709"/>
      </w:pPr>
      <w:r>
        <w:t>[</w:t>
      </w:r>
      <w:r w:rsidR="00A762B5" w:rsidRPr="00BA6979">
        <w:t>If the deadline has been met. Otherwise, the application will be automatically rejected.</w:t>
      </w:r>
      <w:r>
        <w:t>]</w:t>
      </w:r>
    </w:p>
    <w:p w14:paraId="33842C73" w14:textId="77777777" w:rsidR="0059080E" w:rsidRPr="00807DAF" w:rsidRDefault="00825A19" w:rsidP="00F61F60">
      <w:pPr>
        <w:numPr>
          <w:ilvl w:val="0"/>
          <w:numId w:val="14"/>
        </w:numPr>
        <w:spacing w:after="120" w:line="240" w:lineRule="atLeast"/>
      </w:pPr>
      <w:r>
        <w:t>If t</w:t>
      </w:r>
      <w:r w:rsidR="007A3169" w:rsidRPr="00807DAF">
        <w:t>he</w:t>
      </w:r>
      <w:r w:rsidR="008E27C2" w:rsidRPr="00807DAF">
        <w:t xml:space="preserve"> </w:t>
      </w:r>
      <w:r w:rsidR="005709E8" w:rsidRPr="00BA6979">
        <w:t>c</w:t>
      </w:r>
      <w:r w:rsidR="0084479D" w:rsidRPr="00BA6979">
        <w:t xml:space="preserve">oncept </w:t>
      </w:r>
      <w:r w:rsidR="005709E8" w:rsidRPr="00BA6979">
        <w:t>n</w:t>
      </w:r>
      <w:r w:rsidR="0084479D" w:rsidRPr="00BA6979">
        <w:t>ote</w:t>
      </w:r>
      <w:r w:rsidR="007B075A">
        <w:t xml:space="preserve"> </w:t>
      </w:r>
      <w:r w:rsidR="006B6FC1" w:rsidRPr="00807DAF">
        <w:t xml:space="preserve">satisfies all the criteria </w:t>
      </w:r>
      <w:r w:rsidR="00BD4B21" w:rsidRPr="00807DAF">
        <w:t xml:space="preserve">specified in </w:t>
      </w:r>
      <w:r w:rsidR="00C40B9B">
        <w:t xml:space="preserve">the checklist in </w:t>
      </w:r>
      <w:r w:rsidR="00AC4154" w:rsidRPr="00BA6979">
        <w:t>Annex A</w:t>
      </w:r>
      <w:r w:rsidR="00F43773" w:rsidRPr="00BA6979">
        <w:t>.1, Instructions</w:t>
      </w:r>
      <w:r w:rsidR="007B075A">
        <w:t xml:space="preserve"> </w:t>
      </w:r>
      <w:r w:rsidR="007A3169" w:rsidRPr="00807DAF">
        <w:t xml:space="preserve">of the </w:t>
      </w:r>
      <w:r w:rsidR="000A486E">
        <w:t>g</w:t>
      </w:r>
      <w:r w:rsidR="007A3169" w:rsidRPr="00807DAF">
        <w:t>rant application form</w:t>
      </w:r>
      <w:r w:rsidR="005913EB" w:rsidRPr="00807DAF">
        <w:t>.</w:t>
      </w:r>
      <w:r w:rsidR="00962588" w:rsidRPr="00807DAF">
        <w:t xml:space="preserve"> </w:t>
      </w:r>
      <w:r w:rsidR="00803E07">
        <w:t>This includes also an assessment of the eligibility of the action</w:t>
      </w:r>
      <w:r w:rsidR="00C40B9B">
        <w:t>.</w:t>
      </w:r>
      <w:r w:rsidR="00803E07" w:rsidRPr="00807DAF">
        <w:t xml:space="preserve"> </w:t>
      </w:r>
      <w:r w:rsidR="0059080E" w:rsidRPr="00807DAF">
        <w:t xml:space="preserve">If any of the </w:t>
      </w:r>
      <w:r w:rsidR="00B85A17" w:rsidRPr="00807DAF">
        <w:t xml:space="preserve">requested </w:t>
      </w:r>
      <w:r w:rsidR="0059080E" w:rsidRPr="00807DAF">
        <w:t xml:space="preserve">information is missing or </w:t>
      </w:r>
      <w:r w:rsidR="004C44FA" w:rsidRPr="00807DAF">
        <w:t xml:space="preserve">is </w:t>
      </w:r>
      <w:r w:rsidR="0059080E" w:rsidRPr="00807DAF">
        <w:t xml:space="preserve">incorrect, the </w:t>
      </w:r>
      <w:r w:rsidR="006459C5" w:rsidRPr="00807DAF">
        <w:t>application</w:t>
      </w:r>
      <w:r w:rsidR="0059080E" w:rsidRPr="00807DAF">
        <w:t xml:space="preserve"> </w:t>
      </w:r>
      <w:r w:rsidR="0087633A" w:rsidRPr="00807DAF">
        <w:t>may</w:t>
      </w:r>
      <w:r w:rsidR="007A3169" w:rsidRPr="00807DAF">
        <w:t xml:space="preserve"> </w:t>
      </w:r>
      <w:r w:rsidR="0059080E" w:rsidRPr="00807DAF">
        <w:t xml:space="preserve">be rejected on that </w:t>
      </w:r>
      <w:r w:rsidR="0059080E" w:rsidRPr="00807DAF">
        <w:rPr>
          <w:b/>
          <w:u w:val="single"/>
        </w:rPr>
        <w:t>sole</w:t>
      </w:r>
      <w:r w:rsidR="00962588" w:rsidRPr="00807DAF">
        <w:t xml:space="preserve"> basis and the </w:t>
      </w:r>
      <w:r w:rsidR="006459C5" w:rsidRPr="00807DAF">
        <w:t>application</w:t>
      </w:r>
      <w:r w:rsidR="00962588" w:rsidRPr="00807DAF">
        <w:t xml:space="preserve"> will not be evaluated</w:t>
      </w:r>
      <w:r w:rsidR="00607F60" w:rsidRPr="00807DAF">
        <w:t xml:space="preserve"> further</w:t>
      </w:r>
      <w:r w:rsidR="00962588" w:rsidRPr="00807DAF">
        <w:t>.</w:t>
      </w:r>
    </w:p>
    <w:p w14:paraId="70AA179C" w14:textId="77777777" w:rsidR="00C727EC" w:rsidRPr="00807DAF" w:rsidRDefault="00400B42" w:rsidP="00F36C74">
      <w:pPr>
        <w:spacing w:after="120" w:line="240" w:lineRule="atLeast"/>
      </w:pPr>
      <w:r w:rsidRPr="00807DAF">
        <w:t xml:space="preserve">The </w:t>
      </w:r>
      <w:r w:rsidR="00717ADB">
        <w:t>c</w:t>
      </w:r>
      <w:r w:rsidRPr="00807DAF">
        <w:t xml:space="preserve">oncept </w:t>
      </w:r>
      <w:r w:rsidR="00717ADB">
        <w:t>n</w:t>
      </w:r>
      <w:r w:rsidRPr="00807DAF">
        <w:t xml:space="preserve">otes that pass </w:t>
      </w:r>
      <w:r w:rsidR="00803E07">
        <w:t xml:space="preserve">this </w:t>
      </w:r>
      <w:r w:rsidRPr="00807DAF">
        <w:t xml:space="preserve">check will </w:t>
      </w:r>
      <w:r w:rsidR="00B83541" w:rsidRPr="00807DAF">
        <w:t>be evaluated on</w:t>
      </w:r>
      <w:r w:rsidRPr="00807DAF">
        <w:t xml:space="preserve"> the relevance </w:t>
      </w:r>
      <w:r w:rsidR="0002503B" w:rsidRPr="00807DAF">
        <w:t xml:space="preserve">and design </w:t>
      </w:r>
      <w:r w:rsidRPr="00807DAF">
        <w:t xml:space="preserve">of the </w:t>
      </w:r>
      <w:r w:rsidR="00E56448" w:rsidRPr="00807DAF">
        <w:t xml:space="preserve">proposed </w:t>
      </w:r>
      <w:r w:rsidRPr="00807DAF">
        <w:t>action</w:t>
      </w:r>
      <w:r w:rsidR="0002503B" w:rsidRPr="00807DAF">
        <w:t>.</w:t>
      </w:r>
    </w:p>
    <w:p w14:paraId="4858A1B9" w14:textId="77777777" w:rsidR="00400B42" w:rsidRPr="00807DAF" w:rsidRDefault="00400B42" w:rsidP="00F36C74">
      <w:pPr>
        <w:spacing w:after="120" w:line="240" w:lineRule="atLeast"/>
      </w:pPr>
      <w:r w:rsidRPr="00807DAF">
        <w:t xml:space="preserve">The </w:t>
      </w:r>
      <w:r w:rsidR="00717ADB">
        <w:t>c</w:t>
      </w:r>
      <w:r w:rsidRPr="00807DAF">
        <w:t xml:space="preserve">oncept </w:t>
      </w:r>
      <w:r w:rsidR="00717ADB">
        <w:t>n</w:t>
      </w:r>
      <w:r w:rsidRPr="00807DAF">
        <w:t>ote</w:t>
      </w:r>
      <w:r w:rsidR="00E80733">
        <w:t>s</w:t>
      </w:r>
      <w:r w:rsidRPr="00807DAF">
        <w:t xml:space="preserve"> will </w:t>
      </w:r>
      <w:r w:rsidR="00B83541" w:rsidRPr="00807DAF">
        <w:t>receive</w:t>
      </w:r>
      <w:r w:rsidRPr="00807DAF">
        <w:t xml:space="preserve"> an overall score out of 50 </w:t>
      </w:r>
      <w:r w:rsidR="00B83541" w:rsidRPr="00807DAF">
        <w:t>using</w:t>
      </w:r>
      <w:r w:rsidRPr="00807DAF">
        <w:t xml:space="preserve"> the breakdown in the </w:t>
      </w:r>
      <w:r w:rsidR="00B83541" w:rsidRPr="00807DAF">
        <w:t>e</w:t>
      </w:r>
      <w:r w:rsidRPr="00807DAF">
        <w:t xml:space="preserve">valuation </w:t>
      </w:r>
      <w:r w:rsidR="00B83541" w:rsidRPr="00807DAF">
        <w:t>g</w:t>
      </w:r>
      <w:r w:rsidRPr="00807DAF">
        <w:t xml:space="preserve">rid below. The evaluation </w:t>
      </w:r>
      <w:r w:rsidR="00B83541" w:rsidRPr="00807DAF">
        <w:t xml:space="preserve">will </w:t>
      </w:r>
      <w:r w:rsidRPr="00807DAF">
        <w:t xml:space="preserve">also </w:t>
      </w:r>
      <w:r w:rsidR="00B83541" w:rsidRPr="00807DAF">
        <w:t>check on</w:t>
      </w:r>
      <w:r w:rsidRPr="00807DAF">
        <w:t xml:space="preserve"> compliance with the </w:t>
      </w:r>
      <w:r w:rsidR="007B5847" w:rsidRPr="00807DAF">
        <w:t xml:space="preserve">instructions on </w:t>
      </w:r>
      <w:r w:rsidR="00990BD8">
        <w:t xml:space="preserve">how to complete </w:t>
      </w:r>
      <w:r w:rsidR="007B5847" w:rsidRPr="00807DAF">
        <w:t xml:space="preserve">the </w:t>
      </w:r>
      <w:r w:rsidR="00717ADB">
        <w:t>c</w:t>
      </w:r>
      <w:r w:rsidRPr="00807DAF">
        <w:t xml:space="preserve">oncept </w:t>
      </w:r>
      <w:r w:rsidR="00717ADB">
        <w:t>n</w:t>
      </w:r>
      <w:r w:rsidRPr="00807DAF">
        <w:t>ote</w:t>
      </w:r>
      <w:r w:rsidR="007B5847" w:rsidRPr="00807DAF">
        <w:t xml:space="preserve">, which can be found </w:t>
      </w:r>
      <w:r w:rsidR="008B1EA7" w:rsidRPr="00807DAF">
        <w:t xml:space="preserve">in </w:t>
      </w:r>
      <w:r w:rsidR="00E92E8A">
        <w:t>Annex A.1</w:t>
      </w:r>
      <w:r w:rsidR="007B5847" w:rsidRPr="00807DAF">
        <w:t>.</w:t>
      </w:r>
    </w:p>
    <w:p w14:paraId="0B411F56" w14:textId="77777777" w:rsidR="00ED5802" w:rsidRPr="00807DAF" w:rsidRDefault="00ED5802" w:rsidP="00F36C74">
      <w:pPr>
        <w:spacing w:after="120" w:line="240" w:lineRule="atLeast"/>
      </w:pPr>
      <w:bookmarkStart w:id="82" w:name="_Toc159211906"/>
      <w:bookmarkStart w:id="83" w:name="_Toc159212662"/>
      <w:bookmarkStart w:id="84" w:name="_Toc159212881"/>
      <w:bookmarkStart w:id="85" w:name="_Toc159213197"/>
      <w:r w:rsidRPr="00807DAF">
        <w:t xml:space="preserve">The </w:t>
      </w:r>
      <w:r w:rsidRPr="00807DAF">
        <w:rPr>
          <w:u w:val="single"/>
        </w:rPr>
        <w:t>evaluation criteria</w:t>
      </w:r>
      <w:r w:rsidRPr="00807DAF">
        <w:t xml:space="preserve"> are divided into headings and subheadings. Each subheading will be given a score between 1 and 5 </w:t>
      </w:r>
      <w:r w:rsidR="006F44FB" w:rsidRPr="00807DAF">
        <w:t>as follows</w:t>
      </w:r>
      <w:r w:rsidRPr="00807DAF">
        <w:t>: 1 = very poor; 2 = poor; 3 = adequate; 4 = good; 5 = very good.</w:t>
      </w:r>
    </w:p>
    <w:bookmarkEnd w:id="82"/>
    <w:bookmarkEnd w:id="83"/>
    <w:bookmarkEnd w:id="84"/>
    <w:bookmarkEnd w:id="85"/>
    <w:p w14:paraId="5C5BD3A6" w14:textId="77777777" w:rsidR="00A6547C" w:rsidRDefault="00A6547C" w:rsidP="00F36C74">
      <w:pPr>
        <w:spacing w:after="120" w:line="240" w:lineRule="atLeast"/>
        <w:rPr>
          <w:b/>
        </w:rPr>
      </w:pPr>
      <w:r>
        <w:rPr>
          <w:b/>
        </w:rPr>
        <w:t>Evaluation Grid</w:t>
      </w:r>
    </w:p>
    <w:tbl>
      <w:tblPr>
        <w:tblW w:w="9990" w:type="dxa"/>
        <w:tblLayout w:type="fixed"/>
        <w:tblLook w:val="01E0" w:firstRow="1" w:lastRow="1" w:firstColumn="1" w:lastColumn="1" w:noHBand="0" w:noVBand="0"/>
      </w:tblPr>
      <w:tblGrid>
        <w:gridCol w:w="8682"/>
        <w:gridCol w:w="1308"/>
      </w:tblGrid>
      <w:tr w:rsidR="00A6547C" w14:paraId="6D92DBC4"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363FE" w14:textId="77777777" w:rsidR="00A6547C" w:rsidRDefault="00A6547C" w:rsidP="00F36C74">
            <w:pPr>
              <w:snapToGrid w:val="0"/>
              <w:spacing w:after="120" w:line="240" w:lineRule="atLeast"/>
              <w:rPr>
                <w:b/>
                <w:szCs w:val="22"/>
              </w:rPr>
            </w:pPr>
            <w:r>
              <w:rPr>
                <w:b/>
                <w:szCs w:val="22"/>
              </w:rPr>
              <w:t>Section</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AFD533" w14:textId="77777777" w:rsidR="00A6547C" w:rsidRDefault="00A6547C" w:rsidP="00F36C74">
            <w:pPr>
              <w:snapToGrid w:val="0"/>
              <w:spacing w:after="120" w:line="240" w:lineRule="atLeast"/>
              <w:jc w:val="center"/>
              <w:rPr>
                <w:b/>
                <w:szCs w:val="22"/>
              </w:rPr>
            </w:pPr>
            <w:r>
              <w:rPr>
                <w:b/>
                <w:szCs w:val="22"/>
              </w:rPr>
              <w:t>Maximum Score</w:t>
            </w:r>
          </w:p>
        </w:tc>
      </w:tr>
      <w:tr w:rsidR="00A6547C" w14:paraId="1CBDBE72" w14:textId="77777777" w:rsidTr="00A6547C">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5F107" w14:textId="77777777" w:rsidR="00A6547C" w:rsidRDefault="00A6547C" w:rsidP="00F36C74">
            <w:pPr>
              <w:snapToGrid w:val="0"/>
              <w:spacing w:after="120" w:line="240" w:lineRule="atLeast"/>
              <w:jc w:val="left"/>
              <w:rPr>
                <w:b/>
                <w:szCs w:val="22"/>
              </w:rPr>
            </w:pPr>
            <w:r>
              <w:rPr>
                <w:b/>
                <w:szCs w:val="22"/>
              </w:rPr>
              <w:t>1. Relevance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1CFC7914" w14:textId="77777777" w:rsidR="00A6547C" w:rsidRDefault="00A6547C" w:rsidP="00F36C74">
            <w:pPr>
              <w:snapToGrid w:val="0"/>
              <w:spacing w:after="120" w:line="240" w:lineRule="atLeast"/>
              <w:rPr>
                <w:b/>
                <w:szCs w:val="22"/>
              </w:rPr>
            </w:pPr>
            <w:r>
              <w:rPr>
                <w:b/>
                <w:noProof/>
                <w:szCs w:val="22"/>
              </w:rPr>
              <w:t>20</w:t>
            </w:r>
          </w:p>
        </w:tc>
      </w:tr>
      <w:tr w:rsidR="00A6547C" w14:paraId="21DADFC0"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363FEE83" w14:textId="77777777" w:rsidR="00A6547C" w:rsidRDefault="00A6547C" w:rsidP="00F36C74">
            <w:pPr>
              <w:snapToGrid w:val="0"/>
              <w:spacing w:after="120" w:line="240" w:lineRule="atLeast"/>
              <w:ind w:left="340" w:hanging="340"/>
              <w:rPr>
                <w:szCs w:val="22"/>
              </w:rPr>
            </w:pPr>
            <w:r>
              <w:rPr>
                <w:noProof/>
                <w:szCs w:val="22"/>
              </w:rPr>
              <w:t>1.1. Consistency with the objectives of the call: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308" w:type="dxa"/>
            <w:tcBorders>
              <w:top w:val="single" w:sz="4" w:space="0" w:color="auto"/>
              <w:left w:val="single" w:sz="4" w:space="0" w:color="auto"/>
              <w:bottom w:val="single" w:sz="4" w:space="0" w:color="auto"/>
              <w:right w:val="single" w:sz="4" w:space="0" w:color="auto"/>
            </w:tcBorders>
            <w:hideMark/>
          </w:tcPr>
          <w:p w14:paraId="4DADDBED" w14:textId="77777777" w:rsidR="00A6547C" w:rsidRDefault="00A6547C" w:rsidP="00F36C74">
            <w:pPr>
              <w:snapToGrid w:val="0"/>
              <w:spacing w:after="120" w:line="240" w:lineRule="atLeast"/>
              <w:rPr>
                <w:szCs w:val="22"/>
                <w:u w:val="single"/>
              </w:rPr>
            </w:pPr>
            <w:r>
              <w:rPr>
                <w:noProof/>
                <w:szCs w:val="22"/>
              </w:rPr>
              <w:t>5</w:t>
            </w:r>
          </w:p>
        </w:tc>
      </w:tr>
      <w:tr w:rsidR="00A6547C" w14:paraId="4DE8389A"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64C69B9E" w14:textId="77777777" w:rsidR="00A6547C" w:rsidRDefault="00A6547C" w:rsidP="00F36C74">
            <w:pPr>
              <w:snapToGrid w:val="0"/>
              <w:spacing w:after="120" w:line="240" w:lineRule="atLeast"/>
              <w:ind w:left="340" w:hanging="340"/>
              <w:rPr>
                <w:szCs w:val="22"/>
              </w:rPr>
            </w:pPr>
            <w:r>
              <w:rPr>
                <w:noProof/>
                <w:szCs w:val="22"/>
              </w:rPr>
              <w:t xml:space="preserve">1.2. Relevance to the country/region/sector needs: How relevant is the proposal to the particular needs and constraints of the target country(ies), region(s) and/or relevant sectors (including synergy with other development initiatives and avoidance of duplication)? </w:t>
            </w:r>
          </w:p>
        </w:tc>
        <w:tc>
          <w:tcPr>
            <w:tcW w:w="1308" w:type="dxa"/>
            <w:tcBorders>
              <w:top w:val="single" w:sz="4" w:space="0" w:color="auto"/>
              <w:left w:val="single" w:sz="4" w:space="0" w:color="auto"/>
              <w:bottom w:val="single" w:sz="4" w:space="0" w:color="auto"/>
              <w:right w:val="single" w:sz="4" w:space="0" w:color="auto"/>
            </w:tcBorders>
            <w:hideMark/>
          </w:tcPr>
          <w:p w14:paraId="324CF88E" w14:textId="77777777" w:rsidR="00A6547C" w:rsidRDefault="00A6547C" w:rsidP="00F36C74">
            <w:pPr>
              <w:snapToGrid w:val="0"/>
              <w:spacing w:after="120" w:line="240" w:lineRule="atLeast"/>
              <w:rPr>
                <w:szCs w:val="22"/>
                <w:u w:val="single"/>
              </w:rPr>
            </w:pPr>
            <w:r>
              <w:rPr>
                <w:noProof/>
                <w:szCs w:val="22"/>
              </w:rPr>
              <w:t>5</w:t>
            </w:r>
          </w:p>
        </w:tc>
      </w:tr>
      <w:tr w:rsidR="00A6547C" w14:paraId="15231080"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60D03DB1" w14:textId="77777777" w:rsidR="00A6547C" w:rsidRDefault="00A6547C" w:rsidP="00F36C74">
            <w:pPr>
              <w:snapToGrid w:val="0"/>
              <w:spacing w:after="120" w:line="240" w:lineRule="atLeast"/>
              <w:ind w:left="340" w:hanging="340"/>
              <w:rPr>
                <w:szCs w:val="22"/>
              </w:rPr>
            </w:pPr>
            <w:r>
              <w:rPr>
                <w:noProof/>
                <w:szCs w:val="22"/>
              </w:rPr>
              <w:t>1.3. Target groups and final beneficiaries: How clearly defined and strategically chosen are the target groups and final beneficiaries? Have their needs (as rights holders and/or duty bearers) and constraints been clearly defined? Does the proposal address them appropriately?</w:t>
            </w:r>
          </w:p>
        </w:tc>
        <w:tc>
          <w:tcPr>
            <w:tcW w:w="1308" w:type="dxa"/>
            <w:tcBorders>
              <w:top w:val="single" w:sz="4" w:space="0" w:color="auto"/>
              <w:left w:val="single" w:sz="4" w:space="0" w:color="auto"/>
              <w:bottom w:val="single" w:sz="4" w:space="0" w:color="auto"/>
              <w:right w:val="single" w:sz="4" w:space="0" w:color="auto"/>
            </w:tcBorders>
            <w:hideMark/>
          </w:tcPr>
          <w:p w14:paraId="2FDB8FA9" w14:textId="77777777" w:rsidR="00A6547C" w:rsidRDefault="00A6547C" w:rsidP="00F36C74">
            <w:pPr>
              <w:snapToGrid w:val="0"/>
              <w:spacing w:after="120" w:line="240" w:lineRule="atLeast"/>
              <w:rPr>
                <w:szCs w:val="22"/>
                <w:u w:val="single"/>
              </w:rPr>
            </w:pPr>
            <w:r>
              <w:rPr>
                <w:noProof/>
                <w:szCs w:val="22"/>
              </w:rPr>
              <w:t>5</w:t>
            </w:r>
          </w:p>
        </w:tc>
      </w:tr>
      <w:tr w:rsidR="00A6547C" w14:paraId="5DE5F244" w14:textId="77777777" w:rsidTr="00DF6F65">
        <w:trPr>
          <w:trHeight w:val="625"/>
        </w:trPr>
        <w:tc>
          <w:tcPr>
            <w:tcW w:w="8682" w:type="dxa"/>
            <w:tcBorders>
              <w:top w:val="single" w:sz="4" w:space="0" w:color="auto"/>
              <w:left w:val="single" w:sz="4" w:space="0" w:color="auto"/>
              <w:bottom w:val="single" w:sz="4" w:space="0" w:color="auto"/>
              <w:right w:val="single" w:sz="4" w:space="0" w:color="auto"/>
            </w:tcBorders>
            <w:hideMark/>
          </w:tcPr>
          <w:p w14:paraId="7D3CCAA0" w14:textId="77777777" w:rsidR="00A6547C" w:rsidRDefault="00A6547C" w:rsidP="00F36C74">
            <w:pPr>
              <w:snapToGrid w:val="0"/>
              <w:spacing w:after="120" w:line="240" w:lineRule="atLeast"/>
              <w:ind w:left="340" w:hanging="340"/>
              <w:rPr>
                <w:szCs w:val="22"/>
              </w:rPr>
            </w:pPr>
            <w:r>
              <w:rPr>
                <w:noProof/>
                <w:szCs w:val="22"/>
              </w:rPr>
              <w:t>1.4. Added value elements: Does the proposal contain particular added-value elements (e.g. innovation, best practices)? [and the other additional elements indicated under 1.2. of the guidelines for applicants]</w:t>
            </w:r>
          </w:p>
        </w:tc>
        <w:tc>
          <w:tcPr>
            <w:tcW w:w="1308" w:type="dxa"/>
            <w:tcBorders>
              <w:top w:val="single" w:sz="4" w:space="0" w:color="auto"/>
              <w:left w:val="single" w:sz="4" w:space="0" w:color="auto"/>
              <w:bottom w:val="single" w:sz="4" w:space="0" w:color="auto"/>
              <w:right w:val="single" w:sz="4" w:space="0" w:color="auto"/>
            </w:tcBorders>
            <w:hideMark/>
          </w:tcPr>
          <w:p w14:paraId="20364AF2" w14:textId="77777777" w:rsidR="00A6547C" w:rsidRDefault="00A6547C" w:rsidP="00F36C74">
            <w:pPr>
              <w:snapToGrid w:val="0"/>
              <w:spacing w:after="120" w:line="240" w:lineRule="atLeast"/>
              <w:rPr>
                <w:szCs w:val="22"/>
                <w:u w:val="single"/>
              </w:rPr>
            </w:pPr>
            <w:r>
              <w:rPr>
                <w:noProof/>
                <w:szCs w:val="22"/>
              </w:rPr>
              <w:t>5</w:t>
            </w:r>
          </w:p>
        </w:tc>
      </w:tr>
      <w:tr w:rsidR="00A6547C" w14:paraId="61E49DDF" w14:textId="77777777" w:rsidTr="00DF6F65">
        <w:tc>
          <w:tcPr>
            <w:tcW w:w="868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BF810" w14:textId="77777777" w:rsidR="00A6547C" w:rsidRDefault="00A6547C" w:rsidP="00F36C74">
            <w:pPr>
              <w:snapToGrid w:val="0"/>
              <w:spacing w:after="120" w:line="240" w:lineRule="atLeast"/>
              <w:jc w:val="left"/>
              <w:rPr>
                <w:b/>
                <w:szCs w:val="22"/>
              </w:rPr>
            </w:pPr>
            <w:r>
              <w:rPr>
                <w:b/>
                <w:szCs w:val="22"/>
              </w:rPr>
              <w:t xml:space="preserve">2. </w:t>
            </w:r>
            <w:r>
              <w:rPr>
                <w:b/>
                <w:noProof/>
                <w:szCs w:val="22"/>
              </w:rPr>
              <w:t>Design of the action</w:t>
            </w:r>
          </w:p>
        </w:tc>
        <w:tc>
          <w:tcPr>
            <w:tcW w:w="1308" w:type="dxa"/>
            <w:tcBorders>
              <w:top w:val="single" w:sz="4" w:space="0" w:color="auto"/>
              <w:left w:val="single" w:sz="4" w:space="0" w:color="auto"/>
              <w:bottom w:val="single" w:sz="4" w:space="0" w:color="auto"/>
              <w:right w:val="single" w:sz="4" w:space="0" w:color="auto"/>
            </w:tcBorders>
            <w:shd w:val="clear" w:color="auto" w:fill="D9D9D9"/>
            <w:hideMark/>
          </w:tcPr>
          <w:p w14:paraId="69B86416" w14:textId="77777777" w:rsidR="00A6547C" w:rsidRDefault="00A6547C" w:rsidP="00F36C74">
            <w:pPr>
              <w:snapToGrid w:val="0"/>
              <w:spacing w:after="120" w:line="240" w:lineRule="atLeast"/>
              <w:rPr>
                <w:b/>
                <w:szCs w:val="22"/>
              </w:rPr>
            </w:pPr>
            <w:r>
              <w:rPr>
                <w:b/>
                <w:bCs/>
                <w:noProof/>
                <w:szCs w:val="22"/>
              </w:rPr>
              <w:t>30</w:t>
            </w:r>
          </w:p>
        </w:tc>
      </w:tr>
      <w:tr w:rsidR="00A6547C" w14:paraId="57C3B64A"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1A8953D9" w14:textId="77777777" w:rsidR="00A6547C" w:rsidRDefault="00A6547C" w:rsidP="00F36C74">
            <w:pPr>
              <w:snapToGrid w:val="0"/>
              <w:spacing w:after="120" w:line="240" w:lineRule="atLeast"/>
              <w:rPr>
                <w:szCs w:val="22"/>
              </w:rPr>
            </w:pPr>
            <w:r>
              <w:rPr>
                <w:noProof/>
                <w:szCs w:val="22"/>
              </w:rPr>
              <w:t>2.1. Intervention logic.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21626B86" w14:textId="77777777" w:rsidR="00A6547C" w:rsidRDefault="00A6547C" w:rsidP="00F36C74">
            <w:pPr>
              <w:snapToGrid w:val="0"/>
              <w:spacing w:after="120" w:line="240" w:lineRule="atLeast"/>
              <w:rPr>
                <w:szCs w:val="22"/>
                <w:u w:val="single"/>
              </w:rPr>
            </w:pPr>
            <w:r>
              <w:rPr>
                <w:noProof/>
                <w:szCs w:val="22"/>
              </w:rPr>
              <w:t>5x2**</w:t>
            </w:r>
          </w:p>
        </w:tc>
      </w:tr>
      <w:tr w:rsidR="00A6547C" w14:paraId="27C60858"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0A352115" w14:textId="77777777" w:rsidR="00A6547C" w:rsidRDefault="00A6547C" w:rsidP="00F36C74">
            <w:pPr>
              <w:snapToGrid w:val="0"/>
              <w:spacing w:after="120" w:line="240" w:lineRule="atLeast"/>
              <w:rPr>
                <w:szCs w:val="22"/>
              </w:rPr>
            </w:pPr>
            <w:r>
              <w:rPr>
                <w:noProof/>
                <w:szCs w:val="22"/>
              </w:rPr>
              <w:t>2.2. Context analysis. Does the design of the action include a robust analysis of the needs to be addressed, including the capacities of the relevant stakeholders? Are those also embedded adequately in the intervention logic?</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3342E132" w14:textId="77777777" w:rsidR="00A6547C" w:rsidRDefault="00A6547C" w:rsidP="00F36C74">
            <w:pPr>
              <w:snapToGrid w:val="0"/>
              <w:spacing w:after="120" w:line="240" w:lineRule="atLeast"/>
              <w:rPr>
                <w:szCs w:val="22"/>
                <w:u w:val="single"/>
              </w:rPr>
            </w:pPr>
            <w:r>
              <w:rPr>
                <w:noProof/>
                <w:szCs w:val="22"/>
              </w:rPr>
              <w:t>5</w:t>
            </w:r>
          </w:p>
        </w:tc>
      </w:tr>
      <w:tr w:rsidR="00A6547C" w14:paraId="0BE67A5B"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733ACEE3" w14:textId="77777777" w:rsidR="00A6547C" w:rsidRDefault="00A6547C" w:rsidP="00F36C74">
            <w:pPr>
              <w:snapToGrid w:val="0"/>
              <w:spacing w:after="120" w:line="240" w:lineRule="atLeast"/>
              <w:rPr>
                <w:szCs w:val="22"/>
              </w:rPr>
            </w:pPr>
            <w:r>
              <w:rPr>
                <w:noProof/>
                <w:szCs w:val="22"/>
              </w:rPr>
              <w:lastRenderedPageBreak/>
              <w:t>2.3. Risks and assumptions. Is the design based on clear assumptions (the necessary and positive conditions that allow for a successful cause-and-effect relationship between different levels of results)? Does it take into account also risks (the factors that might hinder the achievement of results)?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321FE023" w14:textId="77777777" w:rsidR="00A6547C" w:rsidRDefault="00A6547C" w:rsidP="00F36C74">
            <w:pPr>
              <w:snapToGrid w:val="0"/>
              <w:spacing w:after="120" w:line="240" w:lineRule="atLeast"/>
              <w:rPr>
                <w:szCs w:val="22"/>
                <w:u w:val="single"/>
              </w:rPr>
            </w:pPr>
            <w:r>
              <w:rPr>
                <w:noProof/>
                <w:szCs w:val="22"/>
              </w:rPr>
              <w:t>5</w:t>
            </w:r>
          </w:p>
        </w:tc>
      </w:tr>
      <w:tr w:rsidR="00A6547C" w14:paraId="740E0B3D"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23F0AE28" w14:textId="77777777" w:rsidR="00A6547C" w:rsidRDefault="00A6547C" w:rsidP="00F36C74">
            <w:pPr>
              <w:snapToGrid w:val="0"/>
              <w:spacing w:after="120" w:line="240" w:lineRule="atLeast"/>
              <w:rPr>
                <w:szCs w:val="22"/>
              </w:rPr>
            </w:pPr>
            <w:r>
              <w:rPr>
                <w:noProof/>
                <w:szCs w:val="22"/>
              </w:rPr>
              <w:t>2.4. Indicative Activities. Is the indicative list of activities linked to and consistent with the expected outputs?</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355F7BD" w14:textId="77777777" w:rsidR="00A6547C" w:rsidRDefault="00A6547C" w:rsidP="00F36C74">
            <w:pPr>
              <w:snapToGrid w:val="0"/>
              <w:spacing w:after="120" w:line="240" w:lineRule="atLeast"/>
              <w:rPr>
                <w:szCs w:val="22"/>
                <w:u w:val="single"/>
              </w:rPr>
            </w:pPr>
            <w:r>
              <w:rPr>
                <w:noProof/>
                <w:szCs w:val="22"/>
              </w:rPr>
              <w:t>5</w:t>
            </w:r>
          </w:p>
        </w:tc>
      </w:tr>
      <w:tr w:rsidR="00A6547C" w14:paraId="6B0311B0" w14:textId="77777777" w:rsidTr="00DF6F65">
        <w:trPr>
          <w:trHeight w:val="285"/>
        </w:trPr>
        <w:tc>
          <w:tcPr>
            <w:tcW w:w="8682" w:type="dxa"/>
            <w:tcBorders>
              <w:top w:val="single" w:sz="4" w:space="0" w:color="auto"/>
              <w:left w:val="single" w:sz="4" w:space="0" w:color="auto"/>
              <w:bottom w:val="single" w:sz="4" w:space="0" w:color="auto"/>
              <w:right w:val="single" w:sz="4" w:space="0" w:color="auto"/>
            </w:tcBorders>
            <w:hideMark/>
          </w:tcPr>
          <w:p w14:paraId="59D20D7B" w14:textId="77777777" w:rsidR="00A6547C" w:rsidRDefault="00A6547C" w:rsidP="00F36C74">
            <w:pPr>
              <w:snapToGrid w:val="0"/>
              <w:spacing w:after="120" w:line="240" w:lineRule="atLeast"/>
              <w:rPr>
                <w:szCs w:val="22"/>
              </w:rPr>
            </w:pPr>
            <w:r>
              <w:rPr>
                <w:noProof/>
                <w:szCs w:val="22"/>
              </w:rPr>
              <w:t xml:space="preserve">2.5. Cross-cutting issues: To which extent does the proposal integrate relevant cross-cutting elements such as environmental/climate change issues, promotion of gender equality and equal opportunities, needs of disabled people, rights of minorities and rights of indigenous peoples, youth, combating HIV/AIDS (if there is a strong prevalence in the target country/region)? </w:t>
            </w:r>
            <w:r>
              <w:rPr>
                <w:szCs w:val="22"/>
              </w:rPr>
              <w:t xml:space="preserve"> </w:t>
            </w:r>
          </w:p>
        </w:tc>
        <w:tc>
          <w:tcPr>
            <w:tcW w:w="1308" w:type="dxa"/>
            <w:tcBorders>
              <w:top w:val="single" w:sz="4" w:space="0" w:color="auto"/>
              <w:left w:val="single" w:sz="4" w:space="0" w:color="auto"/>
              <w:bottom w:val="single" w:sz="4" w:space="0" w:color="auto"/>
              <w:right w:val="single" w:sz="4" w:space="0" w:color="auto"/>
            </w:tcBorders>
            <w:hideMark/>
          </w:tcPr>
          <w:p w14:paraId="6A5C1E4B" w14:textId="77777777" w:rsidR="00A6547C" w:rsidRDefault="00A6547C" w:rsidP="00F36C74">
            <w:pPr>
              <w:snapToGrid w:val="0"/>
              <w:spacing w:after="120" w:line="240" w:lineRule="atLeast"/>
              <w:rPr>
                <w:szCs w:val="22"/>
                <w:u w:val="single"/>
              </w:rPr>
            </w:pPr>
            <w:r>
              <w:rPr>
                <w:noProof/>
                <w:szCs w:val="22"/>
              </w:rPr>
              <w:t>5</w:t>
            </w:r>
          </w:p>
        </w:tc>
      </w:tr>
      <w:tr w:rsidR="00A6547C" w14:paraId="6F1464BC" w14:textId="77777777" w:rsidTr="00A6547C">
        <w:trPr>
          <w:trHeight w:val="285"/>
        </w:trPr>
        <w:tc>
          <w:tcPr>
            <w:tcW w:w="8682" w:type="dxa"/>
            <w:tcBorders>
              <w:top w:val="single" w:sz="4" w:space="0" w:color="auto"/>
              <w:left w:val="single" w:sz="4" w:space="0" w:color="auto"/>
              <w:bottom w:val="single" w:sz="4" w:space="0" w:color="auto"/>
              <w:right w:val="single" w:sz="4" w:space="0" w:color="auto"/>
            </w:tcBorders>
            <w:shd w:val="clear" w:color="auto" w:fill="D9D9D9"/>
            <w:vAlign w:val="center"/>
          </w:tcPr>
          <w:p w14:paraId="6FCA8319" w14:textId="77777777" w:rsidR="00A6547C" w:rsidRPr="008F32AC" w:rsidRDefault="00A6547C" w:rsidP="00F36C74">
            <w:pPr>
              <w:spacing w:after="120" w:line="240" w:lineRule="atLeast"/>
              <w:jc w:val="left"/>
              <w:rPr>
                <w:szCs w:val="22"/>
              </w:rPr>
            </w:pPr>
            <w:r w:rsidRPr="00F75093">
              <w:rPr>
                <w:b/>
                <w:szCs w:val="22"/>
              </w:rPr>
              <w:t>Maximum total score</w:t>
            </w:r>
          </w:p>
        </w:tc>
        <w:tc>
          <w:tcPr>
            <w:tcW w:w="1308" w:type="dxa"/>
            <w:tcBorders>
              <w:top w:val="single" w:sz="4" w:space="0" w:color="auto"/>
              <w:left w:val="single" w:sz="4" w:space="0" w:color="auto"/>
              <w:bottom w:val="single" w:sz="4" w:space="0" w:color="auto"/>
              <w:right w:val="single" w:sz="4" w:space="0" w:color="auto"/>
            </w:tcBorders>
            <w:shd w:val="clear" w:color="auto" w:fill="D9D9D9"/>
          </w:tcPr>
          <w:p w14:paraId="47144128" w14:textId="77777777" w:rsidR="00A6547C" w:rsidRPr="008F32AC" w:rsidRDefault="00A6547C" w:rsidP="00F36C74">
            <w:pPr>
              <w:keepNext/>
              <w:spacing w:after="120" w:line="240" w:lineRule="atLeast"/>
              <w:jc w:val="center"/>
              <w:rPr>
                <w:szCs w:val="22"/>
              </w:rPr>
            </w:pPr>
            <w:r w:rsidRPr="008F32AC">
              <w:rPr>
                <w:b/>
                <w:noProof/>
                <w:szCs w:val="22"/>
              </w:rPr>
              <w:t>50</w:t>
            </w:r>
          </w:p>
        </w:tc>
      </w:tr>
    </w:tbl>
    <w:p w14:paraId="7C696BE4" w14:textId="77777777" w:rsidR="005240D9" w:rsidRDefault="005B7EA6" w:rsidP="00F36C74">
      <w:pPr>
        <w:pStyle w:val="Caption"/>
        <w:spacing w:after="120" w:line="240" w:lineRule="atLeast"/>
        <w:rPr>
          <w:highlight w:val="yellow"/>
        </w:rPr>
      </w:pPr>
      <w:r w:rsidRPr="005B7EA6">
        <w:t>**: this score is multiplied by 2 because of its importance</w:t>
      </w:r>
    </w:p>
    <w:p w14:paraId="735D03BC" w14:textId="77777777" w:rsidR="00400B42" w:rsidRPr="00807DAF" w:rsidRDefault="00400B42" w:rsidP="00F36C74">
      <w:pPr>
        <w:spacing w:after="120" w:line="240" w:lineRule="atLeast"/>
      </w:pPr>
      <w:r w:rsidRPr="00807DAF">
        <w:t xml:space="preserve">Once all </w:t>
      </w:r>
      <w:r w:rsidR="00717ADB">
        <w:t>c</w:t>
      </w:r>
      <w:r w:rsidRPr="00807DAF">
        <w:t xml:space="preserve">oncept </w:t>
      </w:r>
      <w:r w:rsidR="00717ADB">
        <w:t>n</w:t>
      </w:r>
      <w:r w:rsidRPr="00807DAF">
        <w:t xml:space="preserve">otes have been assessed, a list will be </w:t>
      </w:r>
      <w:r w:rsidR="00C85211" w:rsidRPr="00807DAF">
        <w:t xml:space="preserve">drawn up </w:t>
      </w:r>
      <w:r w:rsidRPr="00807DAF">
        <w:t xml:space="preserve">with the proposed actions ranked according to their total score. </w:t>
      </w:r>
    </w:p>
    <w:p w14:paraId="52653184" w14:textId="77777777" w:rsidR="00400B42" w:rsidRPr="00807DAF" w:rsidRDefault="001A4F8E" w:rsidP="00F36C74">
      <w:pPr>
        <w:spacing w:after="120" w:line="240" w:lineRule="atLeast"/>
      </w:pPr>
      <w:r w:rsidRPr="00807DAF">
        <w:t>First</w:t>
      </w:r>
      <w:r w:rsidR="00F90A41" w:rsidRPr="00807DAF">
        <w:t>ly</w:t>
      </w:r>
      <w:r w:rsidR="008F021C" w:rsidRPr="00807DAF">
        <w:t xml:space="preserve">, </w:t>
      </w:r>
      <w:r w:rsidR="0074095C" w:rsidRPr="00807DAF">
        <w:t>o</w:t>
      </w:r>
      <w:r w:rsidR="00400B42" w:rsidRPr="00807DAF">
        <w:t xml:space="preserve">nly the </w:t>
      </w:r>
      <w:r w:rsidR="00717ADB">
        <w:t>c</w:t>
      </w:r>
      <w:r w:rsidR="00400B42" w:rsidRPr="00807DAF">
        <w:t xml:space="preserve">oncept </w:t>
      </w:r>
      <w:r w:rsidR="00717ADB">
        <w:t>n</w:t>
      </w:r>
      <w:r w:rsidR="00400B42" w:rsidRPr="00807DAF">
        <w:t xml:space="preserve">otes </w:t>
      </w:r>
      <w:r w:rsidR="00C85211" w:rsidRPr="00807DAF">
        <w:t>with</w:t>
      </w:r>
      <w:r w:rsidR="00400B42" w:rsidRPr="00807DAF">
        <w:t xml:space="preserve"> a score of a</w:t>
      </w:r>
      <w:r w:rsidR="00C85211" w:rsidRPr="00807DAF">
        <w:t xml:space="preserve">t least </w:t>
      </w:r>
      <w:r w:rsidR="00400B42" w:rsidRPr="00807DAF">
        <w:t xml:space="preserve">will be considered for pre-selection. </w:t>
      </w:r>
    </w:p>
    <w:p w14:paraId="0F29764A" w14:textId="77777777" w:rsidR="00806B63" w:rsidRPr="00807DAF" w:rsidRDefault="00806B63" w:rsidP="00F36C74">
      <w:pPr>
        <w:spacing w:after="120" w:line="240" w:lineRule="atLeast"/>
      </w:pPr>
      <w:r w:rsidRPr="00807DAF">
        <w:t xml:space="preserve">Secondly, the number of </w:t>
      </w:r>
      <w:r w:rsidR="00717ADB">
        <w:t>c</w:t>
      </w:r>
      <w:r w:rsidRPr="00807DAF">
        <w:t xml:space="preserve">oncept </w:t>
      </w:r>
      <w:r w:rsidR="00717ADB">
        <w:t>n</w:t>
      </w:r>
      <w:r w:rsidRPr="00807DAF">
        <w:t xml:space="preserve">otes will be reduced, taking account of the ranking, to the number of </w:t>
      </w:r>
      <w:proofErr w:type="gramStart"/>
      <w:r w:rsidR="00717ADB">
        <w:t>c</w:t>
      </w:r>
      <w:r w:rsidRPr="00807DAF">
        <w:t>oncept</w:t>
      </w:r>
      <w:proofErr w:type="gramEnd"/>
      <w:r w:rsidRPr="00807DAF">
        <w:t xml:space="preserve"> </w:t>
      </w:r>
      <w:r w:rsidR="00717ADB">
        <w:t>n</w:t>
      </w:r>
      <w:r w:rsidRPr="00807DAF">
        <w:t xml:space="preserve">otes whose total aggregate </w:t>
      </w:r>
      <w:proofErr w:type="gramStart"/>
      <w:r w:rsidRPr="00807DAF">
        <w:t>amount</w:t>
      </w:r>
      <w:proofErr w:type="gramEnd"/>
      <w:r w:rsidRPr="00807DAF">
        <w:t xml:space="preserve"> of requested contributions is equal </w:t>
      </w:r>
      <w:r w:rsidRPr="005C06C9">
        <w:t xml:space="preserve">to at </w:t>
      </w:r>
      <w:r w:rsidR="00B92620" w:rsidRPr="005C06C9">
        <w:t>least 3</w:t>
      </w:r>
      <w:r w:rsidRPr="005C06C9">
        <w:t xml:space="preserve">00% </w:t>
      </w:r>
      <w:r w:rsidR="00B92620" w:rsidRPr="005C06C9">
        <w:t>o</w:t>
      </w:r>
      <w:r w:rsidRPr="005C06C9">
        <w:t>f t</w:t>
      </w:r>
      <w:r w:rsidRPr="00807DAF">
        <w:t xml:space="preserve">he available budget for this </w:t>
      </w:r>
      <w:r w:rsidR="00717ADB">
        <w:t>c</w:t>
      </w:r>
      <w:r w:rsidRPr="00807DAF">
        <w:t xml:space="preserve">all for </w:t>
      </w:r>
      <w:r w:rsidR="00717ADB">
        <w:t>p</w:t>
      </w:r>
      <w:r w:rsidRPr="00807DAF">
        <w:t xml:space="preserve">roposals. The </w:t>
      </w:r>
      <w:proofErr w:type="gramStart"/>
      <w:r w:rsidRPr="00807DAF">
        <w:t>amount</w:t>
      </w:r>
      <w:proofErr w:type="gramEnd"/>
      <w:r w:rsidRPr="00807DAF">
        <w:t xml:space="preserve"> of requested contributions of each concept note will be based on the indicative financial envelopes for each lot</w:t>
      </w:r>
      <w:r w:rsidR="00B114D9">
        <w:t>, where relevant</w:t>
      </w:r>
      <w:r w:rsidRPr="00807DAF">
        <w:t>.</w:t>
      </w:r>
    </w:p>
    <w:p w14:paraId="44ABA67C" w14:textId="77777777" w:rsidR="004458CA" w:rsidRPr="00BC4288" w:rsidRDefault="004458CA" w:rsidP="00F36C74">
      <w:pPr>
        <w:spacing w:after="120" w:line="240" w:lineRule="atLeast"/>
      </w:pPr>
      <w:r>
        <w:t>Lead a</w:t>
      </w:r>
      <w:r w:rsidRPr="00807DAF">
        <w:t xml:space="preserve">pplicants </w:t>
      </w:r>
      <w:r>
        <w:t xml:space="preserve">will receive a letter </w:t>
      </w:r>
      <w:r w:rsidRPr="00807DAF">
        <w:t xml:space="preserve">indicating </w:t>
      </w:r>
      <w:r>
        <w:t xml:space="preserve">the reference number of their application and the respective results. </w:t>
      </w:r>
      <w:r w:rsidRPr="00FE05D4">
        <w:t>Th</w:t>
      </w:r>
      <w:r>
        <w:t>is</w:t>
      </w:r>
      <w:r w:rsidRPr="00FE05D4">
        <w:t xml:space="preserve"> letter will automatically appear online in the PROSPECT profile of the</w:t>
      </w:r>
      <w:r>
        <w:t xml:space="preserve"> lead a</w:t>
      </w:r>
      <w:r w:rsidRPr="00FE05D4">
        <w:t>pplicant.</w:t>
      </w:r>
      <w:r w:rsidR="005638D7">
        <w:t xml:space="preserve"> </w:t>
      </w:r>
    </w:p>
    <w:p w14:paraId="081EC655" w14:textId="77777777" w:rsidR="00400B42" w:rsidRDefault="004458CA" w:rsidP="00F36C74">
      <w:pPr>
        <w:spacing w:after="120" w:line="240" w:lineRule="atLeast"/>
      </w:pPr>
      <w:r w:rsidRPr="00FE05D4">
        <w:t xml:space="preserve">The pre-selected </w:t>
      </w:r>
      <w:r>
        <w:t>lead a</w:t>
      </w:r>
      <w:r w:rsidRPr="00FE05D4">
        <w:t>pplicants will subsequently be invited to submit full applications</w:t>
      </w:r>
      <w:r w:rsidRPr="00BC4288">
        <w:t>.</w:t>
      </w:r>
    </w:p>
    <w:p w14:paraId="1FAB51D8" w14:textId="77777777" w:rsidR="0000050E" w:rsidRPr="0000050E" w:rsidRDefault="0000050E" w:rsidP="00F61F60">
      <w:pPr>
        <w:pStyle w:val="Guidelines3"/>
        <w:numPr>
          <w:ilvl w:val="2"/>
          <w:numId w:val="6"/>
        </w:numPr>
      </w:pPr>
      <w:bookmarkStart w:id="86" w:name="_Toc185257688"/>
      <w:r w:rsidRPr="001B7D50">
        <w:t>STEP 2: EVALUATION OF THE FULL APPLICATION</w:t>
      </w:r>
      <w:bookmarkEnd w:id="86"/>
    </w:p>
    <w:p w14:paraId="0A6F9055" w14:textId="77777777" w:rsidR="00047C7D" w:rsidRPr="00807DAF" w:rsidRDefault="00047C7D" w:rsidP="001B7D50">
      <w:pPr>
        <w:spacing w:after="120" w:line="240" w:lineRule="atLeast"/>
        <w:jc w:val="left"/>
      </w:pPr>
      <w:r w:rsidRPr="00807DAF">
        <w:rPr>
          <w:szCs w:val="24"/>
        </w:rPr>
        <w:t>First</w:t>
      </w:r>
      <w:r w:rsidR="00C4575C" w:rsidRPr="00807DAF">
        <w:rPr>
          <w:szCs w:val="24"/>
        </w:rPr>
        <w:t>ly</w:t>
      </w:r>
      <w:r w:rsidRPr="00807DAF">
        <w:rPr>
          <w:szCs w:val="24"/>
        </w:rPr>
        <w:t xml:space="preserve">, </w:t>
      </w:r>
      <w:r w:rsidRPr="00807DAF">
        <w:t>the following will be assessed:</w:t>
      </w:r>
    </w:p>
    <w:p w14:paraId="7500BD94" w14:textId="77777777" w:rsidR="00047C7D" w:rsidRPr="00BA6979" w:rsidRDefault="00606AF7" w:rsidP="00F61F60">
      <w:pPr>
        <w:numPr>
          <w:ilvl w:val="0"/>
          <w:numId w:val="15"/>
        </w:numPr>
        <w:spacing w:after="120" w:line="240" w:lineRule="atLeast"/>
      </w:pPr>
      <w:r w:rsidRPr="00BA6979">
        <w:t xml:space="preserve">If the </w:t>
      </w:r>
      <w:r w:rsidR="00047C7D" w:rsidRPr="00BA6979">
        <w:t>submission deadline</w:t>
      </w:r>
      <w:r w:rsidRPr="00BA6979">
        <w:t xml:space="preserve"> has been met</w:t>
      </w:r>
      <w:r w:rsidR="00047C7D" w:rsidRPr="00BA6979">
        <w:t xml:space="preserve">. </w:t>
      </w:r>
      <w:r w:rsidRPr="00BA6979">
        <w:t>Otherwise</w:t>
      </w:r>
      <w:r w:rsidR="00F149E4" w:rsidRPr="00BA6979">
        <w:t xml:space="preserve">, </w:t>
      </w:r>
      <w:r w:rsidR="00047C7D" w:rsidRPr="00BA6979">
        <w:t xml:space="preserve">the application </w:t>
      </w:r>
      <w:r w:rsidR="00E97E2D" w:rsidRPr="00BA6979">
        <w:t>will automatically be rejected.</w:t>
      </w:r>
    </w:p>
    <w:p w14:paraId="3875D984" w14:textId="77777777" w:rsidR="00047C7D" w:rsidRPr="00807DAF" w:rsidRDefault="00606AF7" w:rsidP="00F61F60">
      <w:pPr>
        <w:numPr>
          <w:ilvl w:val="0"/>
          <w:numId w:val="15"/>
        </w:numPr>
        <w:spacing w:after="120" w:line="240" w:lineRule="atLeast"/>
      </w:pPr>
      <w:r>
        <w:t>If t</w:t>
      </w:r>
      <w:r w:rsidR="00047C7D" w:rsidRPr="00807DAF">
        <w:t>he full application satisfies all the criteria</w:t>
      </w:r>
      <w:r>
        <w:t xml:space="preserve"> </w:t>
      </w:r>
      <w:r w:rsidR="00047C7D" w:rsidRPr="00807DAF">
        <w:t xml:space="preserve">specified in the </w:t>
      </w:r>
      <w:r w:rsidR="0092399A">
        <w:t>c</w:t>
      </w:r>
      <w:r w:rsidR="00047C7D" w:rsidRPr="00807DAF">
        <w:t>hecklist (</w:t>
      </w:r>
      <w:r w:rsidR="00F43773">
        <w:t>Annex A.2, Instructions</w:t>
      </w:r>
      <w:r w:rsidR="00047C7D" w:rsidRPr="00807DAF">
        <w:t xml:space="preserve">). </w:t>
      </w:r>
      <w:r w:rsidR="0092399A">
        <w:t xml:space="preserve">This includes also an assessment of the eligibility of the action. </w:t>
      </w:r>
      <w:r w:rsidR="00047C7D" w:rsidRPr="00807DAF">
        <w:t xml:space="preserve">If any of the requested information is missing or is incorrect, the application may be rejected on that </w:t>
      </w:r>
      <w:r w:rsidR="00047C7D" w:rsidRPr="00807DAF">
        <w:rPr>
          <w:b/>
          <w:u w:val="single"/>
        </w:rPr>
        <w:t>sole</w:t>
      </w:r>
      <w:r w:rsidR="00047C7D" w:rsidRPr="00807DAF">
        <w:t xml:space="preserve"> basis and the application will not be evaluated further.</w:t>
      </w:r>
    </w:p>
    <w:p w14:paraId="1C267572" w14:textId="77777777" w:rsidR="0007408E" w:rsidRPr="00807DAF" w:rsidRDefault="0086780C" w:rsidP="00F36C74">
      <w:pPr>
        <w:spacing w:after="120" w:line="240" w:lineRule="atLeast"/>
      </w:pPr>
      <w:r w:rsidRPr="00807DAF">
        <w:t xml:space="preserve">The </w:t>
      </w:r>
      <w:r>
        <w:t>full applications</w:t>
      </w:r>
      <w:r w:rsidRPr="00807DAF">
        <w:t xml:space="preserve"> that pass </w:t>
      </w:r>
      <w:r>
        <w:t>this</w:t>
      </w:r>
      <w:r w:rsidRPr="00807DAF">
        <w:t xml:space="preserve"> check will be </w:t>
      </w:r>
      <w:r>
        <w:t xml:space="preserve">further </w:t>
      </w:r>
      <w:r w:rsidRPr="00807DAF">
        <w:t>evaluated</w:t>
      </w:r>
      <w:r>
        <w:t xml:space="preserve"> on their</w:t>
      </w:r>
      <w:r w:rsidRPr="00807DAF">
        <w:t xml:space="preserve"> quality</w:t>
      </w:r>
      <w:r w:rsidR="00047C7D" w:rsidRPr="00807DAF">
        <w:t>, including the proposed budget and capacity of the applicant</w:t>
      </w:r>
      <w:r w:rsidR="000D40CC" w:rsidRPr="00807DAF">
        <w:t>s</w:t>
      </w:r>
      <w:r w:rsidR="00047C7D" w:rsidRPr="00807DAF">
        <w:t xml:space="preserve"> and </w:t>
      </w:r>
      <w:r w:rsidR="000D40CC" w:rsidRPr="00807DAF">
        <w:t>affiliated entity(</w:t>
      </w:r>
      <w:proofErr w:type="spellStart"/>
      <w:r w:rsidR="000D40CC" w:rsidRPr="00807DAF">
        <w:t>ies</w:t>
      </w:r>
      <w:proofErr w:type="spellEnd"/>
      <w:r w:rsidR="000D40CC" w:rsidRPr="00807DAF">
        <w:t>)</w:t>
      </w:r>
      <w:r w:rsidR="00606AF7">
        <w:t>. They</w:t>
      </w:r>
      <w:r w:rsidR="00047C7D" w:rsidRPr="00807DAF">
        <w:t xml:space="preserve"> will be </w:t>
      </w:r>
      <w:r w:rsidR="00F149E4" w:rsidRPr="00807DAF">
        <w:t>evaluated using</w:t>
      </w:r>
      <w:r w:rsidR="00047C7D" w:rsidRPr="00807DAF">
        <w:t xml:space="preserve"> the evaluation criteria in the </w:t>
      </w:r>
      <w:r w:rsidR="00F149E4" w:rsidRPr="00807DAF">
        <w:t>e</w:t>
      </w:r>
      <w:r w:rsidR="00047C7D" w:rsidRPr="00807DAF">
        <w:t xml:space="preserve">valuation </w:t>
      </w:r>
      <w:r w:rsidR="00F149E4" w:rsidRPr="00807DAF">
        <w:t>g</w:t>
      </w:r>
      <w:r w:rsidR="00047C7D" w:rsidRPr="00807DAF">
        <w:t>rid below. There are two types of evaluation criteria: selection and award criteria.</w:t>
      </w:r>
    </w:p>
    <w:p w14:paraId="0A745DC0" w14:textId="77777777" w:rsidR="0007408E" w:rsidRPr="00807DAF" w:rsidRDefault="0007408E" w:rsidP="00F36C74">
      <w:pPr>
        <w:spacing w:after="120" w:line="240" w:lineRule="atLeast"/>
      </w:pPr>
      <w:r w:rsidRPr="00807DAF">
        <w:rPr>
          <w:b/>
          <w:u w:val="single"/>
        </w:rPr>
        <w:t>The selection criteria</w:t>
      </w:r>
      <w:r w:rsidRPr="00807DAF">
        <w:t xml:space="preserve"> help </w:t>
      </w:r>
      <w:r w:rsidR="00A66639" w:rsidRPr="00807DAF">
        <w:t xml:space="preserve">to </w:t>
      </w:r>
      <w:r w:rsidRPr="00807DAF">
        <w:t>evaluate the applicant</w:t>
      </w:r>
      <w:r w:rsidR="00E94856" w:rsidRPr="00807DAF">
        <w:t>(s)</w:t>
      </w:r>
      <w:r w:rsidR="00544E5D" w:rsidRPr="00807DAF">
        <w:t>'s</w:t>
      </w:r>
      <w:r w:rsidR="00FA2479" w:rsidRPr="00807DAF">
        <w:t xml:space="preserve"> and affiliated en</w:t>
      </w:r>
      <w:r w:rsidR="00A8066A" w:rsidRPr="00807DAF">
        <w:t>t</w:t>
      </w:r>
      <w:r w:rsidR="00FA2479" w:rsidRPr="00807DAF">
        <w:t>ity(</w:t>
      </w:r>
      <w:proofErr w:type="spellStart"/>
      <w:r w:rsidR="00FA2479" w:rsidRPr="00807DAF">
        <w:t>ies</w:t>
      </w:r>
      <w:proofErr w:type="spellEnd"/>
      <w:r w:rsidR="00FA2479" w:rsidRPr="00807DAF">
        <w:t>)</w:t>
      </w:r>
      <w:r w:rsidR="003664DD" w:rsidRPr="00807DAF">
        <w:t>'s</w:t>
      </w:r>
      <w:r w:rsidRPr="00807DAF">
        <w:t xml:space="preserve"> operational capacity</w:t>
      </w:r>
      <w:r w:rsidR="000C1624" w:rsidRPr="00807DAF">
        <w:t xml:space="preserve"> and the </w:t>
      </w:r>
      <w:r w:rsidR="00504963">
        <w:t>lead a</w:t>
      </w:r>
      <w:r w:rsidR="000C1624" w:rsidRPr="00807DAF">
        <w:t>pplicant</w:t>
      </w:r>
      <w:r w:rsidR="00544E5D" w:rsidRPr="00807DAF">
        <w:t>'s</w:t>
      </w:r>
      <w:r w:rsidR="000C1624" w:rsidRPr="00807DAF">
        <w:t xml:space="preserve"> financial capacity and </w:t>
      </w:r>
      <w:r w:rsidR="0086780C">
        <w:t xml:space="preserve">are used to verify </w:t>
      </w:r>
      <w:r w:rsidRPr="00807DAF">
        <w:t>that they:</w:t>
      </w:r>
    </w:p>
    <w:p w14:paraId="2D3D3F3B" w14:textId="77777777" w:rsidR="0007408E" w:rsidRPr="00807DAF" w:rsidRDefault="0007408E" w:rsidP="00F61F60">
      <w:pPr>
        <w:numPr>
          <w:ilvl w:val="0"/>
          <w:numId w:val="16"/>
        </w:numPr>
        <w:spacing w:after="120" w:line="240" w:lineRule="atLeast"/>
      </w:pPr>
      <w:r w:rsidRPr="00807DAF">
        <w:t xml:space="preserve">have stable and sufficient sources of finance to maintain their activity throughout the </w:t>
      </w:r>
      <w:r w:rsidR="00AA2065" w:rsidRPr="00807DAF">
        <w:t>proposed</w:t>
      </w:r>
      <w:r w:rsidRPr="00807DAF">
        <w:t xml:space="preserve"> action and, where appropriate, to participate in its funding</w:t>
      </w:r>
      <w:r w:rsidR="00064836">
        <w:t xml:space="preserve"> (this only applies to lead applicants</w:t>
      </w:r>
      <w:proofErr w:type="gramStart"/>
      <w:r w:rsidR="00064836">
        <w:t>);</w:t>
      </w:r>
      <w:proofErr w:type="gramEnd"/>
    </w:p>
    <w:p w14:paraId="21AF81EB" w14:textId="77777777" w:rsidR="0007408E" w:rsidRDefault="0007408E" w:rsidP="00F61F60">
      <w:pPr>
        <w:numPr>
          <w:ilvl w:val="0"/>
          <w:numId w:val="16"/>
        </w:numPr>
        <w:spacing w:after="120" w:line="240" w:lineRule="atLeast"/>
      </w:pPr>
      <w:r w:rsidRPr="00807DAF">
        <w:t xml:space="preserve">have the </w:t>
      </w:r>
      <w:r w:rsidR="00543106" w:rsidRPr="00807DAF">
        <w:t>management ca</w:t>
      </w:r>
      <w:r w:rsidR="00833F09" w:rsidRPr="00807DAF">
        <w:t>p</w:t>
      </w:r>
      <w:r w:rsidR="00543106" w:rsidRPr="00807DAF">
        <w:t xml:space="preserve">acity, </w:t>
      </w:r>
      <w:r w:rsidRPr="00807DAF">
        <w:t xml:space="preserve">professional competencies and qualifications required to successfully complete the proposed action. This </w:t>
      </w:r>
      <w:r w:rsidR="00064836">
        <w:t>applies to applicants and</w:t>
      </w:r>
      <w:r w:rsidR="00064836" w:rsidRPr="00807DAF">
        <w:t xml:space="preserve"> </w:t>
      </w:r>
      <w:r w:rsidRPr="00807DAF">
        <w:t xml:space="preserve">any </w:t>
      </w:r>
      <w:r w:rsidR="000C1624" w:rsidRPr="00807DAF">
        <w:t>affiliated entity(</w:t>
      </w:r>
      <w:proofErr w:type="spellStart"/>
      <w:r w:rsidR="000C1624" w:rsidRPr="00807DAF">
        <w:t>ies</w:t>
      </w:r>
      <w:proofErr w:type="spellEnd"/>
      <w:r w:rsidR="000C1624" w:rsidRPr="00807DAF">
        <w:t>)</w:t>
      </w:r>
      <w:r w:rsidRPr="00807DAF">
        <w:t>.</w:t>
      </w:r>
    </w:p>
    <w:p w14:paraId="6517D2C9" w14:textId="77777777" w:rsidR="00CA310C" w:rsidRPr="00807DAF" w:rsidRDefault="00CA310C" w:rsidP="00F36C74">
      <w:pPr>
        <w:spacing w:after="120" w:line="240" w:lineRule="atLeast"/>
      </w:pPr>
      <w:bookmarkStart w:id="87" w:name="_Hlk522123628"/>
      <w:proofErr w:type="gramStart"/>
      <w:r w:rsidRPr="007904B1">
        <w:t>For the purpose of</w:t>
      </w:r>
      <w:proofErr w:type="gramEnd"/>
      <w:r w:rsidRPr="007904B1">
        <w:t xml:space="preserve"> the evaluation of the financial capacity, </w:t>
      </w:r>
      <w:r>
        <w:t>lead a</w:t>
      </w:r>
      <w:r w:rsidRPr="007904B1">
        <w:t xml:space="preserve">pplicants must ensure that the relevant information and documents </w:t>
      </w:r>
      <w:r>
        <w:t xml:space="preserve">(i.e. </w:t>
      </w:r>
      <w:r w:rsidRPr="0086420D">
        <w:rPr>
          <w:szCs w:val="22"/>
          <w:lang w:eastAsia="en-GB"/>
        </w:rPr>
        <w:t>accounts of the latest financial year</w:t>
      </w:r>
      <w:r w:rsidR="005638D7">
        <w:rPr>
          <w:szCs w:val="22"/>
          <w:lang w:eastAsia="en-GB"/>
        </w:rPr>
        <w:t>s</w:t>
      </w:r>
      <w:r>
        <w:rPr>
          <w:szCs w:val="22"/>
          <w:lang w:eastAsia="en-GB"/>
        </w:rPr>
        <w:t xml:space="preserve"> and external audit report, where applicable</w:t>
      </w:r>
      <w:r>
        <w:t>)</w:t>
      </w:r>
      <w:r w:rsidRPr="007904B1">
        <w:t xml:space="preserve"> are up to date</w:t>
      </w:r>
      <w:r w:rsidR="00980028">
        <w:t xml:space="preserve"> </w:t>
      </w:r>
      <w:r w:rsidR="00980028" w:rsidRPr="00980028">
        <w:t xml:space="preserve">either in their </w:t>
      </w:r>
      <w:proofErr w:type="spellStart"/>
      <w:r w:rsidR="00980028" w:rsidRPr="00980028">
        <w:t>PADOR</w:t>
      </w:r>
      <w:proofErr w:type="spellEnd"/>
      <w:r w:rsidR="00980028" w:rsidRPr="00980028">
        <w:t xml:space="preserve"> profile or when submitting the requested documents with </w:t>
      </w:r>
      <w:proofErr w:type="spellStart"/>
      <w:r w:rsidR="00980028" w:rsidRPr="00980028">
        <w:t>PADOR</w:t>
      </w:r>
      <w:proofErr w:type="spellEnd"/>
      <w:r w:rsidR="00980028" w:rsidRPr="00980028">
        <w:t xml:space="preserve"> </w:t>
      </w:r>
      <w:r w:rsidR="00C92A95">
        <w:t>registration form</w:t>
      </w:r>
      <w:r w:rsidRPr="007904B1">
        <w:t xml:space="preserve">. If the information and documents </w:t>
      </w:r>
      <w:r w:rsidR="00980028">
        <w:t>requested</w:t>
      </w:r>
      <w:r w:rsidRPr="007904B1">
        <w:t xml:space="preserve"> are outdated and do not allow for a proper evaluation of the financial capacity</w:t>
      </w:r>
      <w:r>
        <w:t>, the application may be rejected.</w:t>
      </w:r>
      <w:bookmarkEnd w:id="87"/>
    </w:p>
    <w:p w14:paraId="5DFE4E9F" w14:textId="77777777" w:rsidR="0007408E" w:rsidRPr="00807DAF" w:rsidRDefault="0007408E" w:rsidP="00F36C74">
      <w:pPr>
        <w:spacing w:after="120" w:line="240" w:lineRule="atLeast"/>
      </w:pPr>
      <w:r w:rsidRPr="00807DAF">
        <w:rPr>
          <w:b/>
          <w:u w:val="single"/>
        </w:rPr>
        <w:t>The award criteria</w:t>
      </w:r>
      <w:r w:rsidRPr="00807DAF">
        <w:t xml:space="preserve"> </w:t>
      </w:r>
      <w:r w:rsidR="006F44FB" w:rsidRPr="00807DAF">
        <w:t xml:space="preserve">help to evaluate </w:t>
      </w:r>
      <w:r w:rsidRPr="00807DAF">
        <w:t xml:space="preserve">the quality of the </w:t>
      </w:r>
      <w:r w:rsidR="006459C5" w:rsidRPr="00807DAF">
        <w:t>application</w:t>
      </w:r>
      <w:r w:rsidRPr="00807DAF">
        <w:t xml:space="preserve">s in relation to the objectives and </w:t>
      </w:r>
      <w:r w:rsidR="006C1232" w:rsidRPr="00807DAF">
        <w:t>priorities</w:t>
      </w:r>
      <w:r w:rsidR="0086780C">
        <w:t xml:space="preserve"> set forth in the guidelines</w:t>
      </w:r>
      <w:r w:rsidR="006C1232" w:rsidRPr="00807DAF">
        <w:t xml:space="preserve">, and </w:t>
      </w:r>
      <w:r w:rsidR="006F44FB" w:rsidRPr="00807DAF">
        <w:t xml:space="preserve">to award </w:t>
      </w:r>
      <w:r w:rsidR="006C1232" w:rsidRPr="00807DAF">
        <w:t>grant</w:t>
      </w:r>
      <w:r w:rsidR="004977D3" w:rsidRPr="00807DAF">
        <w:t>s</w:t>
      </w:r>
      <w:r w:rsidRPr="00807DAF">
        <w:t xml:space="preserve"> to </w:t>
      </w:r>
      <w:r w:rsidR="00CF5740" w:rsidRPr="00807DAF">
        <w:t>project</w:t>
      </w:r>
      <w:r w:rsidRPr="00807DAF">
        <w:t xml:space="preserve">s which maximise the overall effectiveness of the </w:t>
      </w:r>
      <w:r w:rsidR="00717ADB">
        <w:t>c</w:t>
      </w:r>
      <w:r w:rsidR="001D0C7B" w:rsidRPr="00807DAF">
        <w:t xml:space="preserve">all for </w:t>
      </w:r>
      <w:r w:rsidR="00717ADB">
        <w:t>p</w:t>
      </w:r>
      <w:r w:rsidR="001D0C7B" w:rsidRPr="00807DAF">
        <w:t>roposals</w:t>
      </w:r>
      <w:r w:rsidRPr="00807DAF">
        <w:t xml:space="preserve">. </w:t>
      </w:r>
      <w:r w:rsidR="00543106" w:rsidRPr="00807DAF">
        <w:t xml:space="preserve">They </w:t>
      </w:r>
      <w:r w:rsidR="006F44FB" w:rsidRPr="00807DAF">
        <w:t>help to select</w:t>
      </w:r>
      <w:r w:rsidR="00833F09" w:rsidRPr="00807DAF">
        <w:t xml:space="preserve"> </w:t>
      </w:r>
      <w:r w:rsidR="006459C5" w:rsidRPr="00807DAF">
        <w:t>application</w:t>
      </w:r>
      <w:r w:rsidR="0035206C" w:rsidRPr="00807DAF">
        <w:t>s which t</w:t>
      </w:r>
      <w:r w:rsidR="00D959F0" w:rsidRPr="00807DAF">
        <w:t xml:space="preserve">he </w:t>
      </w:r>
      <w:r w:rsidR="00A11755">
        <w:t>c</w:t>
      </w:r>
      <w:r w:rsidR="00D959F0" w:rsidRPr="00807DAF">
        <w:t xml:space="preserve">ontracting </w:t>
      </w:r>
      <w:r w:rsidR="00A11755">
        <w:t>a</w:t>
      </w:r>
      <w:r w:rsidR="00D959F0" w:rsidRPr="00807DAF">
        <w:t>uthority</w:t>
      </w:r>
      <w:r w:rsidR="00833F09" w:rsidRPr="00807DAF">
        <w:t xml:space="preserve"> can be confident will comply with</w:t>
      </w:r>
      <w:r w:rsidR="00D959F0" w:rsidRPr="00807DAF">
        <w:t xml:space="preserve"> its objectives and priorities</w:t>
      </w:r>
      <w:r w:rsidR="002A4866" w:rsidRPr="00807DAF">
        <w:t>.</w:t>
      </w:r>
      <w:r w:rsidR="00D959F0" w:rsidRPr="00807DAF">
        <w:t xml:space="preserve"> </w:t>
      </w:r>
      <w:r w:rsidRPr="00807DAF">
        <w:t xml:space="preserve">They cover the relevance of the action, its consistency with the objectives of the </w:t>
      </w:r>
      <w:r w:rsidR="00717ADB">
        <w:t>c</w:t>
      </w:r>
      <w:r w:rsidR="001D0C7B" w:rsidRPr="00807DAF">
        <w:t xml:space="preserve">all for </w:t>
      </w:r>
      <w:r w:rsidR="00717ADB">
        <w:t>p</w:t>
      </w:r>
      <w:r w:rsidR="001D0C7B" w:rsidRPr="00807DAF">
        <w:t>roposals</w:t>
      </w:r>
      <w:r w:rsidRPr="00807DAF">
        <w:t>, quality, expected impact, sustainability and cost-effectiveness.</w:t>
      </w:r>
    </w:p>
    <w:p w14:paraId="001B0F4B" w14:textId="77777777" w:rsidR="00ED5802" w:rsidRPr="00807DAF" w:rsidRDefault="00ED5802" w:rsidP="00F36C74">
      <w:pPr>
        <w:spacing w:after="120" w:line="240" w:lineRule="atLeast"/>
        <w:rPr>
          <w:i/>
        </w:rPr>
      </w:pPr>
      <w:r w:rsidRPr="00807DAF">
        <w:rPr>
          <w:i/>
        </w:rPr>
        <w:lastRenderedPageBreak/>
        <w:t>Scoring:</w:t>
      </w:r>
    </w:p>
    <w:p w14:paraId="29266872" w14:textId="77777777" w:rsidR="00ED5802" w:rsidRPr="00807DAF" w:rsidRDefault="00ED5802" w:rsidP="00F36C74">
      <w:pPr>
        <w:spacing w:after="120" w:line="240" w:lineRule="atLeast"/>
      </w:pPr>
      <w:r w:rsidRPr="00807DAF">
        <w:t xml:space="preserve">The evaluation </w:t>
      </w:r>
      <w:r w:rsidR="00613863" w:rsidRPr="00807DAF">
        <w:t xml:space="preserve">grid is </w:t>
      </w:r>
      <w:r w:rsidRPr="00807DAF">
        <w:t xml:space="preserve">divided into </w:t>
      </w:r>
      <w:r w:rsidR="00853E40">
        <w:t>S</w:t>
      </w:r>
      <w:r w:rsidRPr="00807DAF">
        <w:t xml:space="preserve">ections and subsections. </w:t>
      </w:r>
      <w:r w:rsidR="007017C5" w:rsidRPr="00807DAF">
        <w:t xml:space="preserve">Each subsection </w:t>
      </w:r>
      <w:r w:rsidRPr="00807DAF">
        <w:t xml:space="preserve">will be given a score between 1 and 5 </w:t>
      </w:r>
      <w:r w:rsidR="006F44FB" w:rsidRPr="00807DAF">
        <w:t>as</w:t>
      </w:r>
      <w:r w:rsidRPr="00807DAF">
        <w:t xml:space="preserve"> follow</w:t>
      </w:r>
      <w:r w:rsidR="006F44FB" w:rsidRPr="00807DAF">
        <w:t>s</w:t>
      </w:r>
      <w:r w:rsidRPr="00807DAF">
        <w:t xml:space="preserve">: 1 = very poor; 2 = poor; 3 = adequate; 4 = good; 5 = very good. </w:t>
      </w:r>
    </w:p>
    <w:p w14:paraId="418199BC" w14:textId="77777777" w:rsidR="0007408E" w:rsidRPr="00807DAF" w:rsidRDefault="0007408E" w:rsidP="00F36C74">
      <w:pPr>
        <w:spacing w:after="120" w:line="240" w:lineRule="atLeast"/>
        <w:rPr>
          <w:b/>
        </w:rPr>
      </w:pPr>
      <w:r w:rsidRPr="00807DAF">
        <w:rPr>
          <w:b/>
        </w:rPr>
        <w:t xml:space="preserve">Evaluation </w:t>
      </w:r>
      <w:r w:rsidR="00A11755">
        <w:rPr>
          <w:b/>
        </w:rPr>
        <w:t>g</w:t>
      </w:r>
      <w:r w:rsidRPr="00807DAF">
        <w:rPr>
          <w:b/>
        </w:rPr>
        <w:t>rid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7F332A" w:rsidRPr="00807DAF" w14:paraId="2CCF92FD" w14:textId="77777777" w:rsidTr="00DF6F65">
        <w:tc>
          <w:tcPr>
            <w:tcW w:w="8472" w:type="dxa"/>
            <w:vAlign w:val="center"/>
          </w:tcPr>
          <w:p w14:paraId="23F38BA1" w14:textId="77777777" w:rsidR="007F332A" w:rsidRPr="00E94A3D" w:rsidRDefault="007F332A" w:rsidP="00F36C74">
            <w:pPr>
              <w:spacing w:after="120" w:line="240" w:lineRule="atLeast"/>
              <w:rPr>
                <w:b/>
                <w:szCs w:val="22"/>
              </w:rPr>
            </w:pPr>
            <w:r w:rsidRPr="00E94A3D">
              <w:rPr>
                <w:b/>
                <w:szCs w:val="22"/>
              </w:rPr>
              <w:t>Section</w:t>
            </w:r>
          </w:p>
        </w:tc>
        <w:tc>
          <w:tcPr>
            <w:tcW w:w="1275" w:type="dxa"/>
            <w:vAlign w:val="center"/>
          </w:tcPr>
          <w:p w14:paraId="51405A28" w14:textId="77777777" w:rsidR="007F332A" w:rsidRPr="00E94A3D" w:rsidRDefault="007F332A" w:rsidP="00F36C74">
            <w:pPr>
              <w:spacing w:after="120" w:line="240" w:lineRule="atLeast"/>
              <w:jc w:val="center"/>
              <w:rPr>
                <w:b/>
                <w:szCs w:val="22"/>
              </w:rPr>
            </w:pPr>
            <w:r w:rsidRPr="00E94A3D">
              <w:rPr>
                <w:b/>
                <w:szCs w:val="22"/>
              </w:rPr>
              <w:t>Maximum Score</w:t>
            </w:r>
          </w:p>
        </w:tc>
      </w:tr>
      <w:tr w:rsidR="007F332A" w:rsidRPr="00807DAF" w14:paraId="55EA2EC6" w14:textId="77777777" w:rsidTr="00DF6F65">
        <w:tc>
          <w:tcPr>
            <w:tcW w:w="8472" w:type="dxa"/>
            <w:shd w:val="pct10" w:color="auto" w:fill="FFFFFF"/>
            <w:vAlign w:val="center"/>
          </w:tcPr>
          <w:p w14:paraId="3246C150" w14:textId="77777777" w:rsidR="007F332A" w:rsidRPr="00E94A3D" w:rsidRDefault="007F332A" w:rsidP="00F36C74">
            <w:pPr>
              <w:spacing w:after="120" w:line="240" w:lineRule="atLeast"/>
              <w:rPr>
                <w:szCs w:val="22"/>
              </w:rPr>
            </w:pPr>
            <w:r w:rsidRPr="00E94A3D">
              <w:rPr>
                <w:b/>
                <w:szCs w:val="22"/>
              </w:rPr>
              <w:t xml:space="preserve">1. </w:t>
            </w:r>
            <w:r w:rsidRPr="00E94A3D">
              <w:rPr>
                <w:b/>
                <w:noProof/>
                <w:szCs w:val="22"/>
              </w:rPr>
              <w:t>Financial and operational capacity</w:t>
            </w:r>
          </w:p>
        </w:tc>
        <w:tc>
          <w:tcPr>
            <w:tcW w:w="1275" w:type="dxa"/>
            <w:shd w:val="pct10" w:color="auto" w:fill="FFFFFF"/>
            <w:vAlign w:val="center"/>
          </w:tcPr>
          <w:p w14:paraId="5F72E5E3" w14:textId="77777777" w:rsidR="007F332A" w:rsidRPr="00E94A3D" w:rsidRDefault="007F332A" w:rsidP="00F36C74">
            <w:pPr>
              <w:spacing w:after="120" w:line="240" w:lineRule="atLeast"/>
              <w:jc w:val="center"/>
              <w:rPr>
                <w:b/>
                <w:szCs w:val="22"/>
              </w:rPr>
            </w:pPr>
            <w:r w:rsidRPr="00E94A3D">
              <w:rPr>
                <w:b/>
                <w:noProof/>
                <w:szCs w:val="22"/>
              </w:rPr>
              <w:t>20</w:t>
            </w:r>
          </w:p>
        </w:tc>
      </w:tr>
      <w:tr w:rsidR="007F332A" w:rsidRPr="00807DAF" w14:paraId="0E320D4A" w14:textId="77777777" w:rsidTr="00DF6F65">
        <w:tc>
          <w:tcPr>
            <w:tcW w:w="8472" w:type="dxa"/>
          </w:tcPr>
          <w:p w14:paraId="14113EB2" w14:textId="77777777" w:rsidR="007F332A" w:rsidRPr="00E94A3D" w:rsidRDefault="007F332A" w:rsidP="00F36C74">
            <w:pPr>
              <w:spacing w:after="120" w:line="240" w:lineRule="atLeast"/>
              <w:ind w:left="340" w:hanging="340"/>
              <w:rPr>
                <w:szCs w:val="22"/>
              </w:rPr>
            </w:pPr>
            <w:r w:rsidRPr="00E94A3D">
              <w:rPr>
                <w:noProof/>
                <w:szCs w:val="22"/>
              </w:rPr>
              <w:t>1.1. Do the applicants and, if applicable, their affiliated entity(ies) have sufficient in-house experience of project management?</w:t>
            </w:r>
          </w:p>
        </w:tc>
        <w:tc>
          <w:tcPr>
            <w:tcW w:w="1275" w:type="dxa"/>
          </w:tcPr>
          <w:p w14:paraId="749EE131"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45AF27BC" w14:textId="77777777" w:rsidTr="00DF6F65">
        <w:tc>
          <w:tcPr>
            <w:tcW w:w="8472" w:type="dxa"/>
          </w:tcPr>
          <w:p w14:paraId="3134865B" w14:textId="77777777" w:rsidR="007F332A" w:rsidRPr="00E94A3D" w:rsidRDefault="007F332A" w:rsidP="00F36C74">
            <w:pPr>
              <w:spacing w:after="120" w:line="240" w:lineRule="atLeast"/>
              <w:ind w:left="340" w:hanging="340"/>
              <w:rPr>
                <w:szCs w:val="22"/>
              </w:rPr>
            </w:pPr>
            <w:r w:rsidRPr="00E94A3D">
              <w:rPr>
                <w:noProof/>
                <w:szCs w:val="22"/>
              </w:rPr>
              <w:t>1.2. Do the applicants and, if applicable, their affiliated entity(ies) have sufficient technical in-house expertise (especially knowledge of the issues to be addressed)?</w:t>
            </w:r>
          </w:p>
        </w:tc>
        <w:tc>
          <w:tcPr>
            <w:tcW w:w="1275" w:type="dxa"/>
          </w:tcPr>
          <w:p w14:paraId="47132CEC"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6FF39582" w14:textId="77777777" w:rsidTr="00DF6F65">
        <w:tc>
          <w:tcPr>
            <w:tcW w:w="8472" w:type="dxa"/>
          </w:tcPr>
          <w:p w14:paraId="6B943481" w14:textId="77777777" w:rsidR="007F332A" w:rsidRPr="00E94A3D" w:rsidRDefault="007F332A" w:rsidP="00F36C74">
            <w:pPr>
              <w:spacing w:after="120" w:line="240" w:lineRule="atLeast"/>
              <w:ind w:left="340" w:hanging="340"/>
              <w:rPr>
                <w:szCs w:val="22"/>
              </w:rPr>
            </w:pPr>
            <w:r w:rsidRPr="00E94A3D">
              <w:rPr>
                <w:noProof/>
                <w:szCs w:val="22"/>
              </w:rPr>
              <w:t>1.3. Do the applicants and, if applicable, their affiliated entity(ies) have sufficient management in-house capacity (including staff, equipment and ability to handle the budget for the action)?</w:t>
            </w:r>
          </w:p>
        </w:tc>
        <w:tc>
          <w:tcPr>
            <w:tcW w:w="1275" w:type="dxa"/>
          </w:tcPr>
          <w:p w14:paraId="2FAF3791"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4FB8F937" w14:textId="77777777" w:rsidTr="00DF6F65">
        <w:tc>
          <w:tcPr>
            <w:tcW w:w="8472" w:type="dxa"/>
          </w:tcPr>
          <w:p w14:paraId="6EBB8247" w14:textId="77777777" w:rsidR="007F332A" w:rsidRPr="00E94A3D" w:rsidRDefault="007F332A" w:rsidP="00F36C74">
            <w:pPr>
              <w:spacing w:after="120" w:line="240" w:lineRule="atLeast"/>
              <w:ind w:left="340" w:hanging="340"/>
              <w:rPr>
                <w:szCs w:val="22"/>
              </w:rPr>
            </w:pPr>
            <w:r w:rsidRPr="00E94A3D">
              <w:rPr>
                <w:noProof/>
                <w:szCs w:val="22"/>
              </w:rPr>
              <w:t>1.4. Does the lead applicant have stable and sufficient sources of finance?</w:t>
            </w:r>
          </w:p>
        </w:tc>
        <w:tc>
          <w:tcPr>
            <w:tcW w:w="1275" w:type="dxa"/>
          </w:tcPr>
          <w:p w14:paraId="2A81C6EB"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45D5576F" w14:textId="77777777" w:rsidTr="00DF6F65">
        <w:tc>
          <w:tcPr>
            <w:tcW w:w="8472" w:type="dxa"/>
            <w:shd w:val="pct10" w:color="auto" w:fill="FFFFFF"/>
            <w:vAlign w:val="center"/>
          </w:tcPr>
          <w:p w14:paraId="063D96A4" w14:textId="77777777" w:rsidR="007F332A" w:rsidRPr="00E94A3D" w:rsidRDefault="007F332A" w:rsidP="00F36C74">
            <w:pPr>
              <w:spacing w:after="120" w:line="240" w:lineRule="atLeast"/>
              <w:jc w:val="left"/>
              <w:rPr>
                <w:szCs w:val="22"/>
              </w:rPr>
            </w:pPr>
            <w:r w:rsidRPr="00E94A3D">
              <w:rPr>
                <w:b/>
                <w:szCs w:val="22"/>
              </w:rPr>
              <w:t xml:space="preserve">2. </w:t>
            </w:r>
            <w:r w:rsidRPr="00E94A3D">
              <w:rPr>
                <w:b/>
                <w:noProof/>
                <w:szCs w:val="22"/>
              </w:rPr>
              <w:t>Relevance of the action</w:t>
            </w:r>
          </w:p>
        </w:tc>
        <w:tc>
          <w:tcPr>
            <w:tcW w:w="1275" w:type="dxa"/>
            <w:shd w:val="pct10" w:color="auto" w:fill="FFFFFF"/>
            <w:vAlign w:val="center"/>
          </w:tcPr>
          <w:p w14:paraId="03C8B506" w14:textId="77777777" w:rsidR="007F332A" w:rsidRPr="00E94A3D" w:rsidRDefault="007F332A" w:rsidP="00F36C74">
            <w:pPr>
              <w:spacing w:after="120" w:line="240" w:lineRule="atLeast"/>
              <w:jc w:val="center"/>
              <w:rPr>
                <w:b/>
                <w:szCs w:val="22"/>
              </w:rPr>
            </w:pPr>
            <w:r w:rsidRPr="00E94A3D">
              <w:rPr>
                <w:b/>
                <w:noProof/>
                <w:szCs w:val="22"/>
              </w:rPr>
              <w:t>20</w:t>
            </w:r>
          </w:p>
        </w:tc>
      </w:tr>
      <w:tr w:rsidR="007F332A" w:rsidRPr="00807DAF" w14:paraId="6CD1C829" w14:textId="77777777" w:rsidTr="00DF6F65">
        <w:tc>
          <w:tcPr>
            <w:tcW w:w="8472" w:type="dxa"/>
            <w:shd w:val="clear" w:color="auto" w:fill="FFFFFF"/>
          </w:tcPr>
          <w:p w14:paraId="24881644" w14:textId="77777777" w:rsidR="007F332A" w:rsidRPr="00E94A3D" w:rsidRDefault="007F332A" w:rsidP="00F36C74">
            <w:pPr>
              <w:spacing w:after="120" w:line="240" w:lineRule="atLeast"/>
              <w:rPr>
                <w:i/>
                <w:szCs w:val="22"/>
              </w:rPr>
            </w:pPr>
            <w:r w:rsidRPr="00E94A3D">
              <w:rPr>
                <w:noProof/>
                <w:szCs w:val="22"/>
              </w:rPr>
              <w:t>2.1. Consistency with the objectives of the call: How relevant is the proposal to the objectives and priorities of the call for proposals and to the specific themes/sectors/areas or any other specific requirement stated in the guidelines for applicants? Are the expected results of the action aligned with the priorities defined in the guidelines for applicants (section 1.2)?</w:t>
            </w:r>
          </w:p>
        </w:tc>
        <w:tc>
          <w:tcPr>
            <w:tcW w:w="1275" w:type="dxa"/>
            <w:shd w:val="clear" w:color="auto" w:fill="FFFFFF"/>
            <w:vAlign w:val="center"/>
          </w:tcPr>
          <w:p w14:paraId="13CAF97C" w14:textId="77777777" w:rsidR="007F332A" w:rsidRPr="00E94A3D" w:rsidRDefault="007F332A" w:rsidP="00F36C74">
            <w:pPr>
              <w:spacing w:after="120" w:line="240" w:lineRule="atLeast"/>
              <w:jc w:val="center"/>
              <w:rPr>
                <w:b/>
                <w:szCs w:val="22"/>
              </w:rPr>
            </w:pPr>
            <w:r w:rsidRPr="00E94A3D">
              <w:rPr>
                <w:noProof/>
                <w:szCs w:val="22"/>
              </w:rPr>
              <w:t>5</w:t>
            </w:r>
          </w:p>
        </w:tc>
      </w:tr>
      <w:tr w:rsidR="007F332A" w:rsidRPr="00807DAF" w14:paraId="241D1C03" w14:textId="77777777" w:rsidTr="00DF6F65">
        <w:tc>
          <w:tcPr>
            <w:tcW w:w="8472" w:type="dxa"/>
            <w:shd w:val="clear" w:color="auto" w:fill="FFFFFF"/>
          </w:tcPr>
          <w:p w14:paraId="46F8BCFD" w14:textId="77777777" w:rsidR="007F332A" w:rsidRPr="00E94A3D" w:rsidRDefault="007F332A" w:rsidP="00F36C74">
            <w:pPr>
              <w:spacing w:after="120" w:line="240" w:lineRule="atLeast"/>
              <w:rPr>
                <w:i/>
                <w:szCs w:val="22"/>
              </w:rPr>
            </w:pPr>
            <w:r w:rsidRPr="00E94A3D">
              <w:rPr>
                <w:noProof/>
                <w:szCs w:val="22"/>
              </w:rPr>
              <w:t xml:space="preserve">2.2. Relevance to the country/region/sector needs: How relevant is the proposal to the particular needs and constraints of the target country(ies), region(s) and/or relevant sectors (including synergy with other development initiatives and avoidance of duplication)? </w:t>
            </w:r>
          </w:p>
        </w:tc>
        <w:tc>
          <w:tcPr>
            <w:tcW w:w="1275" w:type="dxa"/>
            <w:shd w:val="clear" w:color="auto" w:fill="FFFFFF"/>
            <w:vAlign w:val="center"/>
          </w:tcPr>
          <w:p w14:paraId="4F77058F" w14:textId="77777777" w:rsidR="007F332A" w:rsidRPr="00E94A3D" w:rsidRDefault="007F332A" w:rsidP="00F36C74">
            <w:pPr>
              <w:spacing w:after="120" w:line="240" w:lineRule="atLeast"/>
              <w:jc w:val="center"/>
              <w:rPr>
                <w:b/>
                <w:szCs w:val="22"/>
              </w:rPr>
            </w:pPr>
            <w:r w:rsidRPr="00E94A3D">
              <w:rPr>
                <w:noProof/>
                <w:szCs w:val="22"/>
              </w:rPr>
              <w:t>5</w:t>
            </w:r>
          </w:p>
        </w:tc>
      </w:tr>
      <w:tr w:rsidR="007F332A" w:rsidRPr="00807DAF" w14:paraId="3A6C0044" w14:textId="77777777" w:rsidTr="00DF6F65">
        <w:tc>
          <w:tcPr>
            <w:tcW w:w="8472" w:type="dxa"/>
            <w:shd w:val="clear" w:color="auto" w:fill="FFFFFF"/>
          </w:tcPr>
          <w:p w14:paraId="0BC8697F" w14:textId="77777777" w:rsidR="007F332A" w:rsidRPr="00E94A3D" w:rsidRDefault="007F332A" w:rsidP="00F36C74">
            <w:pPr>
              <w:spacing w:after="120" w:line="240" w:lineRule="atLeast"/>
              <w:rPr>
                <w:i/>
                <w:szCs w:val="22"/>
              </w:rPr>
            </w:pPr>
            <w:r w:rsidRPr="00E94A3D">
              <w:rPr>
                <w:noProof/>
                <w:szCs w:val="22"/>
              </w:rPr>
              <w:t>2.3. Target groups and final beneficiaries: How clearly defined and strategically chosen are the target groups and final beneficiaries? Have their needs (as rights holders and/or duty bearers) and constraints been clearly defined? Does the proposal address them appropriately?</w:t>
            </w:r>
          </w:p>
        </w:tc>
        <w:tc>
          <w:tcPr>
            <w:tcW w:w="1275" w:type="dxa"/>
            <w:shd w:val="clear" w:color="auto" w:fill="FFFFFF"/>
            <w:vAlign w:val="center"/>
          </w:tcPr>
          <w:p w14:paraId="2283EEC7" w14:textId="77777777" w:rsidR="007F332A" w:rsidRPr="00E94A3D" w:rsidRDefault="007F332A" w:rsidP="00F36C74">
            <w:pPr>
              <w:spacing w:after="120" w:line="240" w:lineRule="atLeast"/>
              <w:jc w:val="center"/>
              <w:rPr>
                <w:b/>
                <w:szCs w:val="22"/>
              </w:rPr>
            </w:pPr>
            <w:r w:rsidRPr="00E94A3D">
              <w:rPr>
                <w:noProof/>
                <w:szCs w:val="22"/>
              </w:rPr>
              <w:t>5</w:t>
            </w:r>
          </w:p>
        </w:tc>
      </w:tr>
      <w:tr w:rsidR="007F332A" w:rsidRPr="00807DAF" w14:paraId="5C3CDA9D" w14:textId="77777777" w:rsidTr="00DF6F65">
        <w:tc>
          <w:tcPr>
            <w:tcW w:w="8472" w:type="dxa"/>
            <w:shd w:val="clear" w:color="auto" w:fill="FFFFFF"/>
          </w:tcPr>
          <w:p w14:paraId="5C52FE7A" w14:textId="77777777" w:rsidR="007F332A" w:rsidRPr="00E94A3D" w:rsidRDefault="007F332A" w:rsidP="00F36C74">
            <w:pPr>
              <w:spacing w:after="120" w:line="240" w:lineRule="atLeast"/>
              <w:rPr>
                <w:i/>
                <w:szCs w:val="22"/>
              </w:rPr>
            </w:pPr>
            <w:r w:rsidRPr="00E94A3D">
              <w:rPr>
                <w:noProof/>
                <w:szCs w:val="22"/>
              </w:rPr>
              <w:t>2.4. Added value elements: Does the proposal contain particular added-value elements (e.g. innovation, best practices)? [and the other additional elements indicated under 1.2. of the guidelines for applicants]</w:t>
            </w:r>
          </w:p>
        </w:tc>
        <w:tc>
          <w:tcPr>
            <w:tcW w:w="1275" w:type="dxa"/>
            <w:shd w:val="clear" w:color="auto" w:fill="FFFFFF"/>
            <w:vAlign w:val="center"/>
          </w:tcPr>
          <w:p w14:paraId="76F97CFD" w14:textId="77777777" w:rsidR="007F332A" w:rsidRPr="00E94A3D" w:rsidRDefault="007F332A" w:rsidP="00F36C74">
            <w:pPr>
              <w:spacing w:after="120" w:line="240" w:lineRule="atLeast"/>
              <w:jc w:val="center"/>
              <w:rPr>
                <w:b/>
                <w:szCs w:val="22"/>
              </w:rPr>
            </w:pPr>
            <w:r w:rsidRPr="00E94A3D">
              <w:rPr>
                <w:noProof/>
                <w:szCs w:val="22"/>
              </w:rPr>
              <w:t>5</w:t>
            </w:r>
          </w:p>
        </w:tc>
      </w:tr>
      <w:tr w:rsidR="007F332A" w:rsidRPr="00807DAF" w14:paraId="3F24B7C0" w14:textId="77777777" w:rsidTr="00DF6F65">
        <w:tc>
          <w:tcPr>
            <w:tcW w:w="8472" w:type="dxa"/>
            <w:shd w:val="pct10" w:color="auto" w:fill="FFFFFF"/>
            <w:vAlign w:val="center"/>
          </w:tcPr>
          <w:p w14:paraId="259B97AC" w14:textId="77777777" w:rsidR="007F332A" w:rsidRPr="00E94A3D" w:rsidRDefault="007F332A" w:rsidP="00F36C74">
            <w:pPr>
              <w:spacing w:after="120" w:line="240" w:lineRule="atLeast"/>
              <w:rPr>
                <w:szCs w:val="22"/>
              </w:rPr>
            </w:pPr>
            <w:r w:rsidRPr="00E94A3D">
              <w:rPr>
                <w:b/>
                <w:szCs w:val="22"/>
              </w:rPr>
              <w:t xml:space="preserve">3. </w:t>
            </w:r>
            <w:r w:rsidRPr="00E94A3D">
              <w:rPr>
                <w:b/>
                <w:noProof/>
                <w:szCs w:val="22"/>
              </w:rPr>
              <w:t>Design of the action</w:t>
            </w:r>
          </w:p>
        </w:tc>
        <w:tc>
          <w:tcPr>
            <w:tcW w:w="1275" w:type="dxa"/>
            <w:shd w:val="pct10" w:color="auto" w:fill="FFFFFF"/>
            <w:vAlign w:val="center"/>
          </w:tcPr>
          <w:p w14:paraId="5D1664C5" w14:textId="77777777" w:rsidR="007F332A" w:rsidRPr="00E94A3D" w:rsidRDefault="007F332A" w:rsidP="00F36C74">
            <w:pPr>
              <w:spacing w:after="120" w:line="240" w:lineRule="atLeast"/>
              <w:jc w:val="center"/>
              <w:rPr>
                <w:b/>
                <w:szCs w:val="22"/>
              </w:rPr>
            </w:pPr>
            <w:r w:rsidRPr="00E94A3D">
              <w:rPr>
                <w:b/>
                <w:noProof/>
                <w:szCs w:val="22"/>
              </w:rPr>
              <w:t>15</w:t>
            </w:r>
          </w:p>
        </w:tc>
      </w:tr>
      <w:tr w:rsidR="007F332A" w:rsidRPr="00807DAF" w14:paraId="3C102878" w14:textId="77777777" w:rsidTr="00DF6F65">
        <w:tc>
          <w:tcPr>
            <w:tcW w:w="8472" w:type="dxa"/>
          </w:tcPr>
          <w:p w14:paraId="7EAA26F3" w14:textId="77777777" w:rsidR="007F332A" w:rsidRPr="00E94A3D" w:rsidRDefault="007F332A" w:rsidP="00F36C74">
            <w:pPr>
              <w:spacing w:after="120" w:line="240" w:lineRule="atLeast"/>
              <w:ind w:left="340" w:hanging="340"/>
              <w:rPr>
                <w:szCs w:val="22"/>
              </w:rPr>
            </w:pPr>
            <w:r w:rsidRPr="00E94A3D">
              <w:rPr>
                <w:noProof/>
                <w:szCs w:val="22"/>
              </w:rPr>
              <w:t>3.1. Intervention logic. Does the proposal indicate the expected results (outputs/outcomes/impacts) to be achieved by the action? Does the design of the proposed action identify explicitly the necessary sequence to achieve the desired objectives beginning with inputs, moving through activities and outputs, and culminating in outcomes and impacts? Is the indicative list of activities linked to and consistent with the expected outputs?</w:t>
            </w:r>
          </w:p>
        </w:tc>
        <w:tc>
          <w:tcPr>
            <w:tcW w:w="1275" w:type="dxa"/>
          </w:tcPr>
          <w:p w14:paraId="60A52F30"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2334E691" w14:textId="77777777" w:rsidTr="00DF6F65">
        <w:tc>
          <w:tcPr>
            <w:tcW w:w="8472" w:type="dxa"/>
          </w:tcPr>
          <w:p w14:paraId="52ED49E0" w14:textId="77777777" w:rsidR="007F332A" w:rsidRPr="00E94A3D" w:rsidRDefault="007F332A" w:rsidP="00F36C74">
            <w:pPr>
              <w:spacing w:after="120" w:line="240" w:lineRule="atLeast"/>
              <w:ind w:left="340" w:hanging="340"/>
              <w:rPr>
                <w:szCs w:val="22"/>
              </w:rPr>
            </w:pPr>
            <w:r w:rsidRPr="00E94A3D">
              <w:rPr>
                <w:noProof/>
                <w:szCs w:val="22"/>
              </w:rPr>
              <w:t>3.2. Logical Framework Matrix: Is the logical framework provided in Annex C complete? Does each result (output, outcome, impact) include an adequate number of indicators that are sufficient in scope to measure its achievement? Is each indicator RACER (Relevant, Accepted, Credible, Easy to monitor, Robust)? Does each indicator have a baseline value (with year), target value (with year), and a credible source of data? If baselines and targets are not available, this is to be justified and a study (or other relevant tools) to be foreseen and budgeted in the proposal? In the case of use of FNLC, are the FNLC results and indicators clearly marked?</w:t>
            </w:r>
          </w:p>
        </w:tc>
        <w:tc>
          <w:tcPr>
            <w:tcW w:w="1275" w:type="dxa"/>
          </w:tcPr>
          <w:p w14:paraId="7437FEBF"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53E8C22F" w14:textId="77777777" w:rsidTr="00DF6F65">
        <w:tc>
          <w:tcPr>
            <w:tcW w:w="8472" w:type="dxa"/>
          </w:tcPr>
          <w:p w14:paraId="3F7E01D9" w14:textId="77777777" w:rsidR="007F332A" w:rsidRPr="00E94A3D" w:rsidRDefault="007F332A" w:rsidP="00F36C74">
            <w:pPr>
              <w:spacing w:after="120" w:line="240" w:lineRule="atLeast"/>
              <w:ind w:left="340" w:hanging="340"/>
              <w:rPr>
                <w:szCs w:val="22"/>
              </w:rPr>
            </w:pPr>
            <w:r w:rsidRPr="00E94A3D">
              <w:rPr>
                <w:noProof/>
                <w:szCs w:val="22"/>
              </w:rPr>
              <w:t>3.3. Context analysis. Does the design of the action include a robust analysis of the needs to be addressed, including the capacities of the relevant stakeholders? Are those also embedded adequately in the intervention logic?</w:t>
            </w:r>
          </w:p>
        </w:tc>
        <w:tc>
          <w:tcPr>
            <w:tcW w:w="1275" w:type="dxa"/>
          </w:tcPr>
          <w:p w14:paraId="6019AC02"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7208E5FF" w14:textId="77777777" w:rsidTr="00DF6F65">
        <w:tc>
          <w:tcPr>
            <w:tcW w:w="8472" w:type="dxa"/>
            <w:shd w:val="pct10" w:color="auto" w:fill="FFFFFF"/>
            <w:vAlign w:val="center"/>
          </w:tcPr>
          <w:p w14:paraId="236E6FC6" w14:textId="77777777" w:rsidR="007F332A" w:rsidRPr="00E94A3D" w:rsidRDefault="007F332A" w:rsidP="00F36C74">
            <w:pPr>
              <w:spacing w:after="120" w:line="240" w:lineRule="atLeast"/>
              <w:rPr>
                <w:szCs w:val="22"/>
              </w:rPr>
            </w:pPr>
            <w:r w:rsidRPr="00E94A3D">
              <w:rPr>
                <w:szCs w:val="22"/>
              </w:rPr>
              <w:br w:type="page"/>
            </w:r>
            <w:r w:rsidRPr="00E94A3D">
              <w:rPr>
                <w:b/>
                <w:szCs w:val="22"/>
              </w:rPr>
              <w:t xml:space="preserve">4. </w:t>
            </w:r>
            <w:r w:rsidRPr="00E94A3D">
              <w:rPr>
                <w:b/>
                <w:noProof/>
                <w:szCs w:val="22"/>
              </w:rPr>
              <w:t>Implementation approach</w:t>
            </w:r>
          </w:p>
        </w:tc>
        <w:tc>
          <w:tcPr>
            <w:tcW w:w="1275" w:type="dxa"/>
            <w:shd w:val="pct10" w:color="auto" w:fill="FFFFFF"/>
            <w:vAlign w:val="center"/>
          </w:tcPr>
          <w:p w14:paraId="5EC2CB94" w14:textId="77777777" w:rsidR="007F332A" w:rsidRPr="00E94A3D" w:rsidRDefault="007F332A" w:rsidP="00F36C74">
            <w:pPr>
              <w:spacing w:after="120" w:line="240" w:lineRule="atLeast"/>
              <w:jc w:val="center"/>
              <w:rPr>
                <w:b/>
                <w:szCs w:val="22"/>
              </w:rPr>
            </w:pPr>
            <w:r w:rsidRPr="00E94A3D">
              <w:rPr>
                <w:b/>
                <w:noProof/>
                <w:szCs w:val="22"/>
              </w:rPr>
              <w:t>15</w:t>
            </w:r>
          </w:p>
        </w:tc>
      </w:tr>
      <w:tr w:rsidR="007F332A" w:rsidRPr="00807DAF" w14:paraId="472D5975" w14:textId="77777777" w:rsidTr="00DF6F65">
        <w:tc>
          <w:tcPr>
            <w:tcW w:w="8472" w:type="dxa"/>
          </w:tcPr>
          <w:p w14:paraId="5A6C63CB" w14:textId="77777777" w:rsidR="007F332A" w:rsidRPr="00E94A3D" w:rsidRDefault="007F332A" w:rsidP="00F36C74">
            <w:pPr>
              <w:spacing w:after="120" w:line="240" w:lineRule="atLeast"/>
              <w:ind w:left="340" w:hanging="340"/>
              <w:rPr>
                <w:szCs w:val="22"/>
              </w:rPr>
            </w:pPr>
            <w:r w:rsidRPr="00E94A3D">
              <w:rPr>
                <w:noProof/>
                <w:szCs w:val="22"/>
              </w:rPr>
              <w:lastRenderedPageBreak/>
              <w:t>4.1. Action plan: Is the action plan for implementing the action clear and feasible? Are types of activities clearly clustered by output in the Activities Matrix? Is the timeline realistic?</w:t>
            </w:r>
          </w:p>
        </w:tc>
        <w:tc>
          <w:tcPr>
            <w:tcW w:w="1275" w:type="dxa"/>
          </w:tcPr>
          <w:p w14:paraId="0B3D3BD7"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1C2AB579" w14:textId="77777777" w:rsidTr="00DF6F65">
        <w:tc>
          <w:tcPr>
            <w:tcW w:w="8472" w:type="dxa"/>
          </w:tcPr>
          <w:p w14:paraId="31CDB9BE" w14:textId="77777777" w:rsidR="007F332A" w:rsidRPr="00E94A3D" w:rsidRDefault="007F332A" w:rsidP="00F36C74">
            <w:pPr>
              <w:spacing w:after="120" w:line="240" w:lineRule="atLeast"/>
              <w:ind w:left="340" w:hanging="340"/>
              <w:rPr>
                <w:szCs w:val="22"/>
              </w:rPr>
            </w:pPr>
            <w:r w:rsidRPr="00E94A3D">
              <w:rPr>
                <w:noProof/>
                <w:szCs w:val="22"/>
              </w:rPr>
              <w:t>4.2. Monitoring, reporting and evaluation: Does the proposal include an effective and efficient monitoring and reporting system? Is the system in place adequate to update the values of the indicators included in the Logical Framework Matrix - thus informing regularly on progress towards the achievement of impact, outcomes and outputs? Is there an evaluation planned and budgeted (previous, during or/and at the end of the implementation)? If relevant, is the role of third party assessor included?</w:t>
            </w:r>
          </w:p>
        </w:tc>
        <w:tc>
          <w:tcPr>
            <w:tcW w:w="1275" w:type="dxa"/>
          </w:tcPr>
          <w:p w14:paraId="3C5B7881"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0E0BAE7C" w14:textId="77777777" w:rsidTr="00DF6F65">
        <w:tc>
          <w:tcPr>
            <w:tcW w:w="8472" w:type="dxa"/>
          </w:tcPr>
          <w:p w14:paraId="2D8096CF" w14:textId="77777777" w:rsidR="007F332A" w:rsidRPr="00E94A3D" w:rsidRDefault="007F332A" w:rsidP="00F36C74">
            <w:pPr>
              <w:spacing w:after="120" w:line="240" w:lineRule="atLeast"/>
              <w:ind w:left="340" w:hanging="340"/>
              <w:rPr>
                <w:szCs w:val="22"/>
              </w:rPr>
            </w:pPr>
            <w:r w:rsidRPr="00E94A3D">
              <w:rPr>
                <w:noProof/>
                <w:szCs w:val="22"/>
              </w:rPr>
              <w:t>4.3. Project management (technical): Do the co-applicant(s) and (if applicable) their affiliated entities have the necessary technical skills to attain the objectives of the action? Are the co-applicant(s)’s and affiliated entity(ies)’s adequately involved in the implementation (e.g. advocacy, research, capacity building, outreach related activities)?</w:t>
            </w:r>
          </w:p>
        </w:tc>
        <w:tc>
          <w:tcPr>
            <w:tcW w:w="1275" w:type="dxa"/>
          </w:tcPr>
          <w:p w14:paraId="3926515A"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44520C4C" w14:textId="77777777" w:rsidTr="00DF6F65">
        <w:tc>
          <w:tcPr>
            <w:tcW w:w="8472" w:type="dxa"/>
            <w:shd w:val="pct10" w:color="auto" w:fill="FFFFFF"/>
            <w:vAlign w:val="center"/>
          </w:tcPr>
          <w:p w14:paraId="713174C7" w14:textId="77777777" w:rsidR="007F332A" w:rsidRPr="00E94A3D" w:rsidRDefault="007F332A" w:rsidP="00F36C74">
            <w:pPr>
              <w:spacing w:after="120" w:line="240" w:lineRule="atLeast"/>
              <w:rPr>
                <w:szCs w:val="22"/>
              </w:rPr>
            </w:pPr>
            <w:r w:rsidRPr="00E94A3D">
              <w:rPr>
                <w:szCs w:val="22"/>
              </w:rPr>
              <w:br w:type="page"/>
            </w:r>
            <w:r w:rsidRPr="00E94A3D">
              <w:rPr>
                <w:b/>
                <w:szCs w:val="22"/>
              </w:rPr>
              <w:t xml:space="preserve">5. </w:t>
            </w:r>
            <w:r w:rsidRPr="00E94A3D">
              <w:rPr>
                <w:b/>
                <w:noProof/>
                <w:szCs w:val="22"/>
              </w:rPr>
              <w:t>Sustainability of the action</w:t>
            </w:r>
          </w:p>
        </w:tc>
        <w:tc>
          <w:tcPr>
            <w:tcW w:w="1275" w:type="dxa"/>
            <w:shd w:val="pct10" w:color="auto" w:fill="FFFFFF"/>
            <w:vAlign w:val="center"/>
          </w:tcPr>
          <w:p w14:paraId="1159FD2B" w14:textId="77777777" w:rsidR="007F332A" w:rsidRPr="00E94A3D" w:rsidRDefault="007F332A" w:rsidP="00F36C74">
            <w:pPr>
              <w:spacing w:after="120" w:line="240" w:lineRule="atLeast"/>
              <w:jc w:val="center"/>
              <w:rPr>
                <w:b/>
                <w:szCs w:val="22"/>
              </w:rPr>
            </w:pPr>
            <w:r w:rsidRPr="00E94A3D">
              <w:rPr>
                <w:b/>
                <w:noProof/>
                <w:szCs w:val="22"/>
              </w:rPr>
              <w:t>15</w:t>
            </w:r>
          </w:p>
        </w:tc>
      </w:tr>
      <w:tr w:rsidR="007F332A" w:rsidRPr="00807DAF" w14:paraId="423E8539" w14:textId="77777777" w:rsidTr="00DF6F65">
        <w:tc>
          <w:tcPr>
            <w:tcW w:w="8472" w:type="dxa"/>
          </w:tcPr>
          <w:p w14:paraId="1AAEA9DC" w14:textId="77777777" w:rsidR="007F332A" w:rsidRPr="00E94A3D" w:rsidRDefault="007F332A" w:rsidP="00F36C74">
            <w:pPr>
              <w:spacing w:after="120" w:line="240" w:lineRule="atLeast"/>
              <w:ind w:left="340" w:hanging="340"/>
              <w:rPr>
                <w:szCs w:val="22"/>
              </w:rPr>
            </w:pPr>
            <w:r w:rsidRPr="00E94A3D">
              <w:rPr>
                <w:noProof/>
                <w:szCs w:val="22"/>
              </w:rPr>
              <w:t>5.1. Long-lasting benefits: Is the action likely to ensure long lasting and transformative benefits to the target groups and the final beneficiaries?</w:t>
            </w:r>
          </w:p>
        </w:tc>
        <w:tc>
          <w:tcPr>
            <w:tcW w:w="1275" w:type="dxa"/>
          </w:tcPr>
          <w:p w14:paraId="39B72621"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3855B521" w14:textId="77777777" w:rsidTr="00DF6F65">
        <w:tc>
          <w:tcPr>
            <w:tcW w:w="8472" w:type="dxa"/>
          </w:tcPr>
          <w:p w14:paraId="7389AF40" w14:textId="77777777" w:rsidR="007F332A" w:rsidRPr="00E94A3D" w:rsidRDefault="007F332A" w:rsidP="00F36C74">
            <w:pPr>
              <w:spacing w:after="120" w:line="240" w:lineRule="atLeast"/>
              <w:ind w:left="340" w:hanging="340"/>
              <w:rPr>
                <w:szCs w:val="22"/>
              </w:rPr>
            </w:pPr>
            <w:r w:rsidRPr="00E94A3D">
              <w:rPr>
                <w:noProof/>
                <w:szCs w:val="22"/>
              </w:rPr>
              <w:t>5.2. Multiplier effects: Is the action likely to have multiplier effects, including scope for replication, extension, cross-fertilisation of experience and knowledge sharing?</w:t>
            </w:r>
          </w:p>
        </w:tc>
        <w:tc>
          <w:tcPr>
            <w:tcW w:w="1275" w:type="dxa"/>
          </w:tcPr>
          <w:p w14:paraId="04151866"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2B5E83E1" w14:textId="77777777" w:rsidTr="00DF6F65">
        <w:tc>
          <w:tcPr>
            <w:tcW w:w="8472" w:type="dxa"/>
          </w:tcPr>
          <w:p w14:paraId="4B12960B" w14:textId="77777777" w:rsidR="007F332A" w:rsidRPr="00E94A3D" w:rsidRDefault="007F332A" w:rsidP="00F36C74">
            <w:pPr>
              <w:spacing w:after="120" w:line="240" w:lineRule="atLeast"/>
              <w:ind w:left="340" w:hanging="340"/>
              <w:rPr>
                <w:szCs w:val="22"/>
              </w:rPr>
            </w:pPr>
            <w:r w:rsidRPr="00E94A3D">
              <w:rPr>
                <w:noProof/>
                <w:szCs w:val="22"/>
              </w:rPr>
              <w:t>5.3. Sustainability How likely the effects are to last after the intervention ends?- Financial sustainability: which financial resources are available to fund the continuation of the services provided by the intervention? How long are they likely to be available and from which sources?)- Institutional sustainability: which institutional arrangements allow for maintaining the benefits achieved? Is there any measure in place to ensure local ownership?- Policy level sustainability (if applicable): is there any expected policy related effect from the action, e.g. improved legislation, codes of conduct, methods- Environmental sustainability (if applicable): will the action have a negative/positive environmental impact?- Risk analysis and mitigation measures: will the action be accompanied by a good risk analysis (including physical, environmental, political, economic and social risks) and relevant mitigation measures?</w:t>
            </w:r>
          </w:p>
        </w:tc>
        <w:tc>
          <w:tcPr>
            <w:tcW w:w="1275" w:type="dxa"/>
          </w:tcPr>
          <w:p w14:paraId="231302C8" w14:textId="77777777" w:rsidR="007F332A" w:rsidRPr="00E94A3D" w:rsidRDefault="007F332A" w:rsidP="00F36C74">
            <w:pPr>
              <w:spacing w:after="120" w:line="240" w:lineRule="atLeast"/>
              <w:jc w:val="center"/>
              <w:rPr>
                <w:szCs w:val="22"/>
              </w:rPr>
            </w:pPr>
            <w:r w:rsidRPr="00E94A3D">
              <w:rPr>
                <w:noProof/>
                <w:szCs w:val="22"/>
              </w:rPr>
              <w:t>5</w:t>
            </w:r>
          </w:p>
        </w:tc>
      </w:tr>
      <w:tr w:rsidR="007F332A" w:rsidRPr="00807DAF" w14:paraId="522E2AC3" w14:textId="77777777" w:rsidTr="00F254E7">
        <w:tc>
          <w:tcPr>
            <w:tcW w:w="8472" w:type="dxa"/>
            <w:shd w:val="clear" w:color="auto" w:fill="E5E5E5"/>
            <w:vAlign w:val="center"/>
          </w:tcPr>
          <w:p w14:paraId="63F624AE" w14:textId="77777777" w:rsidR="007F332A" w:rsidRPr="00E94A3D" w:rsidRDefault="007F332A" w:rsidP="00F36C74">
            <w:pPr>
              <w:spacing w:after="120" w:line="240" w:lineRule="atLeast"/>
              <w:rPr>
                <w:szCs w:val="22"/>
              </w:rPr>
            </w:pPr>
            <w:r w:rsidRPr="00E94A3D">
              <w:rPr>
                <w:szCs w:val="22"/>
              </w:rPr>
              <w:br w:type="page"/>
            </w:r>
            <w:r w:rsidR="00C8195B">
              <w:rPr>
                <w:b/>
                <w:szCs w:val="22"/>
              </w:rPr>
              <w:t>6</w:t>
            </w:r>
            <w:r w:rsidRPr="00E94A3D">
              <w:rPr>
                <w:b/>
                <w:szCs w:val="22"/>
              </w:rPr>
              <w:t xml:space="preserve">. </w:t>
            </w:r>
            <w:r>
              <w:rPr>
                <w:b/>
                <w:noProof/>
                <w:szCs w:val="22"/>
              </w:rPr>
              <w:t>Budget and cost-effectiveness of the action</w:t>
            </w:r>
          </w:p>
        </w:tc>
        <w:tc>
          <w:tcPr>
            <w:tcW w:w="1275" w:type="dxa"/>
            <w:shd w:val="clear" w:color="auto" w:fill="E5E5E5"/>
            <w:vAlign w:val="center"/>
          </w:tcPr>
          <w:p w14:paraId="74EA0E29" w14:textId="77777777" w:rsidR="007F332A" w:rsidRPr="00E94A3D" w:rsidRDefault="007F332A" w:rsidP="00F36C74">
            <w:pPr>
              <w:spacing w:after="120" w:line="240" w:lineRule="atLeast"/>
              <w:jc w:val="center"/>
              <w:rPr>
                <w:b/>
                <w:szCs w:val="22"/>
              </w:rPr>
            </w:pPr>
            <w:r>
              <w:rPr>
                <w:b/>
                <w:noProof/>
                <w:szCs w:val="22"/>
              </w:rPr>
              <w:t>15</w:t>
            </w:r>
          </w:p>
        </w:tc>
      </w:tr>
      <w:tr w:rsidR="007F332A" w:rsidRPr="00807DAF" w14:paraId="102508C7" w14:textId="77777777" w:rsidTr="00DF6F65">
        <w:tc>
          <w:tcPr>
            <w:tcW w:w="8472" w:type="dxa"/>
          </w:tcPr>
          <w:p w14:paraId="502B5C05" w14:textId="77777777" w:rsidR="007F332A" w:rsidRPr="00E94A3D" w:rsidRDefault="007F332A" w:rsidP="00F36C74">
            <w:pPr>
              <w:spacing w:after="120" w:line="240" w:lineRule="atLeast"/>
              <w:ind w:left="340" w:hanging="340"/>
              <w:rPr>
                <w:szCs w:val="22"/>
              </w:rPr>
            </w:pPr>
            <w:r>
              <w:rPr>
                <w:noProof/>
                <w:szCs w:val="22"/>
              </w:rPr>
              <w:t>6.1. Budget: Are the activities appropriately reflected in the budget? In the case of entire of partly use of financing not linked to costs, are the results and performance indicators adequately reflected in the budget?</w:t>
            </w:r>
          </w:p>
        </w:tc>
        <w:tc>
          <w:tcPr>
            <w:tcW w:w="1275" w:type="dxa"/>
          </w:tcPr>
          <w:p w14:paraId="2A761C36" w14:textId="77777777" w:rsidR="007F332A" w:rsidRPr="00E94A3D" w:rsidRDefault="007F332A" w:rsidP="00F36C74">
            <w:pPr>
              <w:spacing w:after="120" w:line="240" w:lineRule="atLeast"/>
              <w:jc w:val="center"/>
              <w:rPr>
                <w:szCs w:val="22"/>
              </w:rPr>
            </w:pPr>
            <w:r>
              <w:rPr>
                <w:noProof/>
                <w:szCs w:val="22"/>
              </w:rPr>
              <w:t>5</w:t>
            </w:r>
          </w:p>
        </w:tc>
      </w:tr>
      <w:tr w:rsidR="007F332A" w:rsidRPr="00807DAF" w14:paraId="5B12BEFF" w14:textId="77777777" w:rsidTr="00DF6F65">
        <w:tc>
          <w:tcPr>
            <w:tcW w:w="8472" w:type="dxa"/>
          </w:tcPr>
          <w:p w14:paraId="77CE86DE" w14:textId="77777777" w:rsidR="007F332A" w:rsidRPr="00E94A3D" w:rsidRDefault="007F332A" w:rsidP="00F36C74">
            <w:pPr>
              <w:spacing w:after="120" w:line="240" w:lineRule="atLeast"/>
              <w:ind w:left="340" w:hanging="340"/>
              <w:rPr>
                <w:szCs w:val="22"/>
              </w:rPr>
            </w:pPr>
            <w:r>
              <w:rPr>
                <w:noProof/>
                <w:szCs w:val="22"/>
              </w:rPr>
              <w:t>6.2. Efficiency: Is the relation between the estimated amounts as per budget and the expected results adequate?</w:t>
            </w:r>
          </w:p>
        </w:tc>
        <w:tc>
          <w:tcPr>
            <w:tcW w:w="1275" w:type="dxa"/>
          </w:tcPr>
          <w:p w14:paraId="4918E4EA" w14:textId="77777777" w:rsidR="007F332A" w:rsidRPr="00E94A3D" w:rsidRDefault="007F332A" w:rsidP="00F36C74">
            <w:pPr>
              <w:spacing w:after="120" w:line="240" w:lineRule="atLeast"/>
              <w:jc w:val="center"/>
              <w:rPr>
                <w:szCs w:val="22"/>
              </w:rPr>
            </w:pPr>
            <w:r>
              <w:rPr>
                <w:noProof/>
                <w:szCs w:val="22"/>
              </w:rPr>
              <w:t>5x2**</w:t>
            </w:r>
          </w:p>
        </w:tc>
      </w:tr>
      <w:tr w:rsidR="007F332A" w:rsidRPr="00807DAF" w14:paraId="42181E52" w14:textId="77777777" w:rsidTr="00DF6F65">
        <w:tc>
          <w:tcPr>
            <w:tcW w:w="8472" w:type="dxa"/>
            <w:shd w:val="pct10" w:color="auto" w:fill="FFFFFF"/>
            <w:vAlign w:val="center"/>
          </w:tcPr>
          <w:p w14:paraId="79361C3E" w14:textId="77777777" w:rsidR="007F332A" w:rsidRPr="00E94A3D" w:rsidRDefault="007F332A" w:rsidP="00F36C74">
            <w:pPr>
              <w:spacing w:after="120" w:line="240" w:lineRule="atLeast"/>
              <w:rPr>
                <w:b/>
                <w:szCs w:val="22"/>
              </w:rPr>
            </w:pPr>
            <w:r w:rsidRPr="00E94A3D">
              <w:rPr>
                <w:b/>
                <w:szCs w:val="22"/>
              </w:rPr>
              <w:t>Maximum total score</w:t>
            </w:r>
          </w:p>
        </w:tc>
        <w:tc>
          <w:tcPr>
            <w:tcW w:w="1275" w:type="dxa"/>
            <w:shd w:val="pct10" w:color="auto" w:fill="FFFFFF"/>
            <w:vAlign w:val="center"/>
          </w:tcPr>
          <w:p w14:paraId="2BE66E09" w14:textId="77777777" w:rsidR="007F332A" w:rsidRPr="00E94A3D" w:rsidRDefault="007F332A" w:rsidP="00F36C74">
            <w:pPr>
              <w:keepNext/>
              <w:spacing w:after="120" w:line="240" w:lineRule="atLeast"/>
              <w:jc w:val="center"/>
              <w:rPr>
                <w:b/>
                <w:szCs w:val="22"/>
              </w:rPr>
            </w:pPr>
            <w:r w:rsidRPr="00E94A3D">
              <w:rPr>
                <w:b/>
                <w:noProof/>
                <w:szCs w:val="22"/>
              </w:rPr>
              <w:t>100</w:t>
            </w:r>
          </w:p>
        </w:tc>
      </w:tr>
    </w:tbl>
    <w:p w14:paraId="324FFB78" w14:textId="77777777" w:rsidR="0086780C" w:rsidRDefault="005B7EA6" w:rsidP="00F36C74">
      <w:pPr>
        <w:pStyle w:val="Caption"/>
        <w:spacing w:after="120" w:line="240" w:lineRule="atLeast"/>
      </w:pPr>
      <w:r w:rsidRPr="005B7EA6">
        <w:t>**: this score is multiplied by 2 because of its importance</w:t>
      </w:r>
    </w:p>
    <w:p w14:paraId="416EEF9A" w14:textId="77777777" w:rsidR="00F248A3" w:rsidRDefault="00F248A3" w:rsidP="00F36C74">
      <w:pPr>
        <w:spacing w:after="120" w:line="240" w:lineRule="atLeast"/>
      </w:pPr>
      <w:r w:rsidRPr="00807DAF">
        <w:t xml:space="preserve">If the </w:t>
      </w:r>
      <w:r w:rsidR="00281295" w:rsidRPr="00807DAF">
        <w:t xml:space="preserve">total score for </w:t>
      </w:r>
      <w:r w:rsidR="00853E40">
        <w:t>S</w:t>
      </w:r>
      <w:r w:rsidR="00281295" w:rsidRPr="00807DAF">
        <w:t xml:space="preserve">ection 1 </w:t>
      </w:r>
      <w:r w:rsidR="0086780C">
        <w:t xml:space="preserve">(financial and operational capacity) </w:t>
      </w:r>
      <w:r w:rsidR="00281295" w:rsidRPr="00807DAF">
        <w:t>is less than 12 points</w:t>
      </w:r>
      <w:r w:rsidR="00B10F3E" w:rsidRPr="00807DAF">
        <w:t>,</w:t>
      </w:r>
      <w:r w:rsidRPr="00807DAF">
        <w:t xml:space="preserve"> the application will be rejected.</w:t>
      </w:r>
      <w:r w:rsidR="00281295" w:rsidRPr="00807DAF">
        <w:t xml:space="preserve"> If the score for at least one of the subsections under </w:t>
      </w:r>
      <w:r w:rsidR="00853E40">
        <w:t>S</w:t>
      </w:r>
      <w:r w:rsidR="00281295" w:rsidRPr="00807DAF">
        <w:t>ection 1 is 1, the application will also be rejected.</w:t>
      </w:r>
    </w:p>
    <w:p w14:paraId="57EACBF3" w14:textId="77777777" w:rsidR="00B975FF" w:rsidRPr="00807DAF" w:rsidRDefault="00B975FF" w:rsidP="00F36C74">
      <w:pPr>
        <w:spacing w:after="120" w:line="240" w:lineRule="atLeast"/>
      </w:pPr>
      <w:r>
        <w:t xml:space="preserve">If the lead applicant applies without co-applicants or affiliated entities the score for point </w:t>
      </w:r>
      <w:r w:rsidR="00520145">
        <w:t>4</w:t>
      </w:r>
      <w:r w:rsidR="00F21DAD">
        <w:t>.3</w:t>
      </w:r>
      <w:r>
        <w:t xml:space="preserve"> shall be 5 unless the involvement of co-applicants or affiliated entities is mandatory according to these guidelines for applicants.  </w:t>
      </w:r>
    </w:p>
    <w:p w14:paraId="659EFD6B" w14:textId="77777777" w:rsidR="00ED5802" w:rsidRPr="00807DAF" w:rsidRDefault="00ED5802" w:rsidP="00F36C74">
      <w:pPr>
        <w:spacing w:after="120" w:line="240" w:lineRule="atLeast"/>
        <w:rPr>
          <w:i/>
        </w:rPr>
      </w:pPr>
      <w:r w:rsidRPr="00807DAF">
        <w:rPr>
          <w:i/>
        </w:rPr>
        <w:t>Provisional selection</w:t>
      </w:r>
    </w:p>
    <w:p w14:paraId="1F6CF167" w14:textId="77777777" w:rsidR="00ED5802" w:rsidRDefault="008F3758" w:rsidP="00F36C74">
      <w:pPr>
        <w:spacing w:after="120" w:line="240" w:lineRule="atLeast"/>
      </w:pPr>
      <w:r w:rsidRPr="00807DAF">
        <w:t xml:space="preserve">After </w:t>
      </w:r>
      <w:r w:rsidR="00ED5802" w:rsidRPr="00807DAF">
        <w:t xml:space="preserve">the evaluation, a table </w:t>
      </w:r>
      <w:r w:rsidRPr="00807DAF">
        <w:t xml:space="preserve">will be drawn up </w:t>
      </w:r>
      <w:r w:rsidR="00ED5802" w:rsidRPr="00807DAF">
        <w:t xml:space="preserve">listing the </w:t>
      </w:r>
      <w:r w:rsidR="006459C5" w:rsidRPr="00807DAF">
        <w:t>application</w:t>
      </w:r>
      <w:r w:rsidR="00ED5802" w:rsidRPr="00807DAF">
        <w:t>s ranked according to their score</w:t>
      </w:r>
      <w:r w:rsidR="0086780C">
        <w:t>.</w:t>
      </w:r>
      <w:r w:rsidR="00ED5802" w:rsidRPr="00807DAF">
        <w:t xml:space="preserve"> </w:t>
      </w:r>
      <w:r w:rsidR="0086780C">
        <w:t xml:space="preserve">The highest scoring applications will be provisionally selected until </w:t>
      </w:r>
      <w:r w:rsidR="0086780C" w:rsidRPr="00807DAF">
        <w:t xml:space="preserve">the available budget for this </w:t>
      </w:r>
      <w:r w:rsidR="0086780C">
        <w:t>c</w:t>
      </w:r>
      <w:r w:rsidR="0086780C" w:rsidRPr="00807DAF">
        <w:t xml:space="preserve">all for </w:t>
      </w:r>
      <w:r w:rsidR="0086780C">
        <w:t>p</w:t>
      </w:r>
      <w:r w:rsidR="0086780C" w:rsidRPr="00807DAF">
        <w:t>roposals</w:t>
      </w:r>
      <w:r w:rsidR="0086780C">
        <w:t xml:space="preserve"> is reached</w:t>
      </w:r>
      <w:r w:rsidR="00EF41DE" w:rsidRPr="00807DAF">
        <w:t xml:space="preserve">. </w:t>
      </w:r>
      <w:r w:rsidR="004113FC" w:rsidRPr="00807DAF">
        <w:t>In addition, a</w:t>
      </w:r>
      <w:r w:rsidR="00ED5802" w:rsidRPr="00807DAF">
        <w:t xml:space="preserve"> reserve list </w:t>
      </w:r>
      <w:r w:rsidR="004113FC" w:rsidRPr="00807DAF">
        <w:t xml:space="preserve">will be drawn up </w:t>
      </w:r>
      <w:r w:rsidR="00ED5802" w:rsidRPr="00807DAF">
        <w:t>following the same criteria</w:t>
      </w:r>
      <w:r w:rsidR="002A1D7C">
        <w:t>.</w:t>
      </w:r>
      <w:r w:rsidR="004113FC" w:rsidRPr="00807DAF">
        <w:t xml:space="preserve"> </w:t>
      </w:r>
      <w:r w:rsidR="002A1D7C">
        <w:t xml:space="preserve">This list will be </w:t>
      </w:r>
      <w:r w:rsidR="004113FC" w:rsidRPr="00807DAF">
        <w:t>used if more funds become available during the validity period of the reserve list</w:t>
      </w:r>
      <w:r w:rsidR="00ED5802" w:rsidRPr="00807DAF">
        <w:t>.</w:t>
      </w:r>
      <w:r w:rsidR="00243ECE">
        <w:t xml:space="preserve"> The </w:t>
      </w:r>
      <w:r w:rsidR="00243ECE" w:rsidRPr="00935E92">
        <w:t xml:space="preserve">contracting authority informs </w:t>
      </w:r>
      <w:proofErr w:type="gramStart"/>
      <w:r w:rsidR="00243ECE">
        <w:t>those</w:t>
      </w:r>
      <w:r w:rsidR="00243ECE" w:rsidRPr="00935E92">
        <w:t xml:space="preserve"> lead</w:t>
      </w:r>
      <w:proofErr w:type="gramEnd"/>
      <w:r w:rsidR="00243ECE" w:rsidRPr="00935E92">
        <w:t xml:space="preserve"> applicants </w:t>
      </w:r>
      <w:r w:rsidR="00243ECE">
        <w:t xml:space="preserve">provisionally selected and those placed on the reserve list, that they will be subject to the final eligibility check.  </w:t>
      </w:r>
    </w:p>
    <w:p w14:paraId="3175B5BD" w14:textId="77777777" w:rsidR="00243ECE" w:rsidRPr="00807DAF" w:rsidRDefault="00243ECE" w:rsidP="00F36C74">
      <w:pPr>
        <w:spacing w:after="120" w:line="240" w:lineRule="atLeast"/>
      </w:pPr>
    </w:p>
    <w:p w14:paraId="0BC9EBC8" w14:textId="77777777" w:rsidR="0000050E" w:rsidRPr="0000050E" w:rsidRDefault="0000050E" w:rsidP="00F61F60">
      <w:pPr>
        <w:pStyle w:val="Guidelines3"/>
        <w:numPr>
          <w:ilvl w:val="2"/>
          <w:numId w:val="6"/>
        </w:numPr>
      </w:pPr>
      <w:bookmarkStart w:id="88" w:name="_Toc185257689"/>
      <w:r w:rsidRPr="001B7D50">
        <w:lastRenderedPageBreak/>
        <w:t>STEP 3: VERIFICATION OF ELIGIBILITY OF THE APPLICANTS AND AFFILIATED ENTITY(IES)</w:t>
      </w:r>
      <w:r w:rsidR="00C27B90">
        <w:t xml:space="preserve"> AND OTHER SUPPORTING DOCUMENTS</w:t>
      </w:r>
      <w:bookmarkEnd w:id="88"/>
    </w:p>
    <w:p w14:paraId="5C66FC25" w14:textId="77777777" w:rsidR="00F20A9C" w:rsidRPr="00807DAF" w:rsidRDefault="006C1232" w:rsidP="001B7D50">
      <w:pPr>
        <w:tabs>
          <w:tab w:val="left" w:pos="426"/>
          <w:tab w:val="left" w:pos="709"/>
        </w:tabs>
        <w:spacing w:after="120" w:line="240" w:lineRule="atLeast"/>
      </w:pPr>
      <w:r w:rsidRPr="00807DAF">
        <w:t>T</w:t>
      </w:r>
      <w:r w:rsidR="00F20A9C" w:rsidRPr="00807DAF">
        <w:t>he eligibility verification</w:t>
      </w:r>
      <w:r w:rsidR="00E43789">
        <w:t xml:space="preserve"> will be performed </w:t>
      </w:r>
      <w:proofErr w:type="gramStart"/>
      <w:r w:rsidR="00E43789">
        <w:t>on the basis of</w:t>
      </w:r>
      <w:proofErr w:type="gramEnd"/>
      <w:r w:rsidR="00E43789">
        <w:t xml:space="preserve"> </w:t>
      </w:r>
      <w:r w:rsidR="0087633A" w:rsidRPr="00807DAF">
        <w:t xml:space="preserve">the supporting documents requested </w:t>
      </w:r>
      <w:r w:rsidR="006D1FC0" w:rsidRPr="00807DAF">
        <w:t xml:space="preserve">by </w:t>
      </w:r>
      <w:r w:rsidR="0087633A" w:rsidRPr="00807DAF">
        <w:t xml:space="preserve">the </w:t>
      </w:r>
      <w:r w:rsidR="00A11755">
        <w:t>c</w:t>
      </w:r>
      <w:r w:rsidR="0087633A" w:rsidRPr="00807DAF">
        <w:t xml:space="preserve">ontracting </w:t>
      </w:r>
      <w:r w:rsidR="00A11755">
        <w:t>a</w:t>
      </w:r>
      <w:r w:rsidR="0087633A" w:rsidRPr="00807DAF">
        <w:t xml:space="preserve">uthority (see </w:t>
      </w:r>
      <w:r w:rsidR="00A11755">
        <w:t>S</w:t>
      </w:r>
      <w:r w:rsidR="00896ECA" w:rsidRPr="00807DAF">
        <w:t>ection</w:t>
      </w:r>
      <w:r w:rsidR="00ED5802" w:rsidRPr="00807DAF">
        <w:t xml:space="preserve"> </w:t>
      </w:r>
      <w:r w:rsidR="0087633A" w:rsidRPr="00807DAF">
        <w:t>2.</w:t>
      </w:r>
      <w:r w:rsidR="00CF3B99">
        <w:t>2.</w:t>
      </w:r>
      <w:r w:rsidR="0087633A" w:rsidRPr="00807DAF">
        <w:t>)</w:t>
      </w:r>
      <w:r w:rsidR="00E43789">
        <w:t>. It</w:t>
      </w:r>
      <w:r w:rsidR="00F20A9C" w:rsidRPr="00807DAF">
        <w:t xml:space="preserve"> will </w:t>
      </w:r>
      <w:r w:rsidR="000E2AF6">
        <w:t xml:space="preserve">by default </w:t>
      </w:r>
      <w:r w:rsidR="00F20A9C" w:rsidRPr="00807DAF">
        <w:rPr>
          <w:u w:val="single"/>
        </w:rPr>
        <w:t>only</w:t>
      </w:r>
      <w:r w:rsidR="00F20A9C" w:rsidRPr="00807DAF">
        <w:t xml:space="preserve"> be performed for the </w:t>
      </w:r>
      <w:r w:rsidR="00577465" w:rsidRPr="00807DAF">
        <w:t xml:space="preserve">applications </w:t>
      </w:r>
      <w:r w:rsidRPr="00807DAF">
        <w:t xml:space="preserve">that have been </w:t>
      </w:r>
      <w:r w:rsidR="0049630B" w:rsidRPr="00807DAF">
        <w:t>provisionally</w:t>
      </w:r>
      <w:r w:rsidR="009C1C8B" w:rsidRPr="00807DAF">
        <w:t xml:space="preserve"> </w:t>
      </w:r>
      <w:r w:rsidR="007A3169" w:rsidRPr="00807DAF">
        <w:t>selected</w:t>
      </w:r>
      <w:r w:rsidRPr="00807DAF">
        <w:t xml:space="preserve"> </w:t>
      </w:r>
      <w:r w:rsidR="00B719E5">
        <w:t xml:space="preserve">(including those placed on the reserve list) </w:t>
      </w:r>
      <w:r w:rsidRPr="00807DAF">
        <w:t xml:space="preserve">according to their score and within the available </w:t>
      </w:r>
      <w:r w:rsidR="00E43789">
        <w:t>budget for this call for proposals</w:t>
      </w:r>
      <w:r w:rsidRPr="00807DAF">
        <w:t xml:space="preserve">. </w:t>
      </w:r>
      <w:r w:rsidR="00937483">
        <w:t>In this case:</w:t>
      </w:r>
    </w:p>
    <w:p w14:paraId="75E402E3" w14:textId="77777777" w:rsidR="00FC4EAA" w:rsidRPr="00807DAF" w:rsidRDefault="007A3169" w:rsidP="00F61F60">
      <w:pPr>
        <w:numPr>
          <w:ilvl w:val="0"/>
          <w:numId w:val="17"/>
        </w:numPr>
        <w:spacing w:after="120" w:line="240" w:lineRule="atLeast"/>
      </w:pPr>
      <w:r w:rsidRPr="00807DAF">
        <w:t xml:space="preserve">The </w:t>
      </w:r>
      <w:r w:rsidR="00717ADB">
        <w:t>d</w:t>
      </w:r>
      <w:r w:rsidR="007F1763" w:rsidRPr="00807DAF">
        <w:t>eclaration</w:t>
      </w:r>
      <w:r w:rsidRPr="00807DAF">
        <w:t xml:space="preserve"> by the </w:t>
      </w:r>
      <w:r w:rsidR="00504963">
        <w:t>lead a</w:t>
      </w:r>
      <w:r w:rsidRPr="00807DAF">
        <w:t>pplicant (</w:t>
      </w:r>
      <w:r w:rsidR="00A11755">
        <w:t>S</w:t>
      </w:r>
      <w:r w:rsidRPr="00807DAF">
        <w:t xml:space="preserve">ection </w:t>
      </w:r>
      <w:r w:rsidR="00E92E8A">
        <w:t>5</w:t>
      </w:r>
      <w:r w:rsidR="00B971F7" w:rsidRPr="00807DAF">
        <w:t xml:space="preserve"> </w:t>
      </w:r>
      <w:r w:rsidRPr="00807DAF">
        <w:t xml:space="preserve">of </w:t>
      </w:r>
      <w:r w:rsidR="00E92E8A">
        <w:t>Annex A.2</w:t>
      </w:r>
      <w:r w:rsidRPr="00807DAF">
        <w:t>)</w:t>
      </w:r>
      <w:r w:rsidR="001558C4">
        <w:t xml:space="preserve"> </w:t>
      </w:r>
      <w:r w:rsidRPr="00807DAF">
        <w:t>will be cross-</w:t>
      </w:r>
      <w:r w:rsidR="00CF3CC3" w:rsidRPr="00807DAF">
        <w:t xml:space="preserve">checked </w:t>
      </w:r>
      <w:r w:rsidRPr="00807DAF">
        <w:t xml:space="preserve">with the supporting documents provided by the </w:t>
      </w:r>
      <w:r w:rsidR="00504963">
        <w:t>lead a</w:t>
      </w:r>
      <w:r w:rsidRPr="00807DAF">
        <w:t>pplicant</w:t>
      </w:r>
      <w:r w:rsidR="00F20A9C" w:rsidRPr="00807DAF">
        <w:t xml:space="preserve">. Any </w:t>
      </w:r>
      <w:r w:rsidR="0087633A" w:rsidRPr="00807DAF">
        <w:t xml:space="preserve">missing supporting document or any </w:t>
      </w:r>
      <w:r w:rsidR="00F20A9C" w:rsidRPr="00807DAF">
        <w:t xml:space="preserve">incoherence between the </w:t>
      </w:r>
      <w:r w:rsidR="00717ADB">
        <w:t>d</w:t>
      </w:r>
      <w:r w:rsidR="00F20A9C" w:rsidRPr="00807DAF">
        <w:t xml:space="preserve">eclaration by the </w:t>
      </w:r>
      <w:r w:rsidR="00504963">
        <w:t>lead a</w:t>
      </w:r>
      <w:r w:rsidR="00F20A9C" w:rsidRPr="00807DAF">
        <w:t xml:space="preserve">pplicant and the supporting documents </w:t>
      </w:r>
      <w:r w:rsidR="007F45D1" w:rsidRPr="00807DAF">
        <w:t>may</w:t>
      </w:r>
      <w:r w:rsidR="00F20A9C" w:rsidRPr="00807DAF">
        <w:t xml:space="preserve"> lead to the rejection of the </w:t>
      </w:r>
      <w:r w:rsidR="006459C5" w:rsidRPr="00807DAF">
        <w:t>application</w:t>
      </w:r>
      <w:r w:rsidR="00F20A9C" w:rsidRPr="00807DAF">
        <w:t xml:space="preserve"> on that sole basis. </w:t>
      </w:r>
    </w:p>
    <w:p w14:paraId="474FAA70" w14:textId="77777777" w:rsidR="00FC4EAA" w:rsidRPr="00807DAF" w:rsidRDefault="0029175E" w:rsidP="00F61F60">
      <w:pPr>
        <w:numPr>
          <w:ilvl w:val="0"/>
          <w:numId w:val="17"/>
        </w:numPr>
        <w:spacing w:after="120" w:line="240" w:lineRule="atLeast"/>
      </w:pPr>
      <w:r w:rsidRPr="00807DAF">
        <w:t>T</w:t>
      </w:r>
      <w:r w:rsidR="007F45D1" w:rsidRPr="00807DAF">
        <w:t>he eligibility of</w:t>
      </w:r>
      <w:r w:rsidR="00FC4EAA" w:rsidRPr="00807DAF">
        <w:t xml:space="preserve"> applicant</w:t>
      </w:r>
      <w:r w:rsidR="009901E5" w:rsidRPr="00807DAF">
        <w:t>s</w:t>
      </w:r>
      <w:r w:rsidR="00E80733">
        <w:t xml:space="preserve"> and</w:t>
      </w:r>
      <w:r w:rsidR="00FC4EAA" w:rsidRPr="00807DAF">
        <w:t xml:space="preserve"> the </w:t>
      </w:r>
      <w:r w:rsidR="009901E5" w:rsidRPr="00807DAF">
        <w:t>affiliated entit</w:t>
      </w:r>
      <w:r w:rsidR="007D4CA7" w:rsidRPr="00807DAF">
        <w:t>y</w:t>
      </w:r>
      <w:r w:rsidR="009901E5" w:rsidRPr="00807DAF">
        <w:t>(</w:t>
      </w:r>
      <w:proofErr w:type="spellStart"/>
      <w:r w:rsidR="009901E5" w:rsidRPr="00807DAF">
        <w:t>ies</w:t>
      </w:r>
      <w:proofErr w:type="spellEnd"/>
      <w:r w:rsidR="009901E5" w:rsidRPr="00807DAF">
        <w:t>)</w:t>
      </w:r>
      <w:r w:rsidR="00FC4EAA" w:rsidRPr="00807DAF">
        <w:t xml:space="preserve"> </w:t>
      </w:r>
      <w:r w:rsidR="007F45D1" w:rsidRPr="00807DAF">
        <w:t>will be verified</w:t>
      </w:r>
      <w:r w:rsidR="00FC4EAA" w:rsidRPr="00807DAF">
        <w:t xml:space="preserve"> according to the criteria set out in </w:t>
      </w:r>
      <w:r w:rsidR="00A11755">
        <w:t>S</w:t>
      </w:r>
      <w:r w:rsidR="00896ECA" w:rsidRPr="00807DAF">
        <w:t>ection</w:t>
      </w:r>
      <w:r w:rsidR="00FC4EAA" w:rsidRPr="00807DAF">
        <w:t xml:space="preserve"> 2.1.1</w:t>
      </w:r>
      <w:r w:rsidR="00C27B90">
        <w:t>, including exclusion criteria.</w:t>
      </w:r>
    </w:p>
    <w:p w14:paraId="564A5AC9" w14:textId="77777777" w:rsidR="005D7AF3" w:rsidRDefault="008F3758" w:rsidP="00F36C74">
      <w:pPr>
        <w:spacing w:after="120" w:line="240" w:lineRule="atLeast"/>
      </w:pPr>
      <w:r w:rsidRPr="00807DAF">
        <w:t>A</w:t>
      </w:r>
      <w:r w:rsidR="00CF3CC3" w:rsidRPr="00807DAF">
        <w:t xml:space="preserve">ny rejected </w:t>
      </w:r>
      <w:r w:rsidR="006459C5" w:rsidRPr="00807DAF">
        <w:t>application</w:t>
      </w:r>
      <w:r w:rsidR="005E65D9" w:rsidRPr="00807DAF">
        <w:t xml:space="preserve"> will be replaced by the next best placed </w:t>
      </w:r>
      <w:r w:rsidR="006459C5" w:rsidRPr="00807DAF">
        <w:t>application</w:t>
      </w:r>
      <w:r w:rsidR="00B67806" w:rsidRPr="00807DAF">
        <w:t xml:space="preserve"> </w:t>
      </w:r>
      <w:r w:rsidR="007D4CA7" w:rsidRPr="00807DAF">
        <w:t>on</w:t>
      </w:r>
      <w:r w:rsidR="00B67806" w:rsidRPr="00807DAF">
        <w:t xml:space="preserve"> the reserve list that falls within the available </w:t>
      </w:r>
      <w:r w:rsidR="00E43789">
        <w:t>budget for this call for proposals</w:t>
      </w:r>
      <w:r w:rsidR="00A214A2" w:rsidRPr="00807DAF">
        <w:t>.</w:t>
      </w:r>
      <w:bookmarkStart w:id="89" w:name="_Toc40507654"/>
    </w:p>
    <w:p w14:paraId="7D89B186" w14:textId="77777777" w:rsidR="00C92A95" w:rsidRPr="00853981" w:rsidRDefault="001558C4" w:rsidP="001B7D50">
      <w:pPr>
        <w:rPr>
          <w:b/>
          <w:smallCaps/>
        </w:rPr>
      </w:pPr>
      <w:bookmarkStart w:id="90" w:name="_Hlk163810619"/>
      <w:r w:rsidRPr="00807DAF">
        <w:t xml:space="preserve">In the eventuality that the </w:t>
      </w:r>
      <w:r>
        <w:t>evaluation committee</w:t>
      </w:r>
      <w:r w:rsidRPr="00807DAF">
        <w:t xml:space="preserve"> is not satisfied with the strength, solidity, and guarantee offered by the structural link between one of the applicants and its affiliated entity, it can require the submission of the missing documents allowing for its conversion into co-applicant. If all the missing documents for co-applicants are submitted, and provided all necessary eligibility criteria are fulfilled, the </w:t>
      </w:r>
      <w:proofErr w:type="gramStart"/>
      <w:r w:rsidRPr="00807DAF">
        <w:t>above mentioned</w:t>
      </w:r>
      <w:proofErr w:type="gramEnd"/>
      <w:r w:rsidRPr="00807DAF">
        <w:t xml:space="preserve"> entity becomes a co-applicant for all purposes. The </w:t>
      </w:r>
      <w:r>
        <w:t>lead a</w:t>
      </w:r>
      <w:r w:rsidRPr="00807DAF">
        <w:t xml:space="preserve">pplicant </w:t>
      </w:r>
      <w:proofErr w:type="gramStart"/>
      <w:r w:rsidRPr="00807DAF">
        <w:t>has to</w:t>
      </w:r>
      <w:proofErr w:type="gramEnd"/>
      <w:r w:rsidRPr="00807DAF">
        <w:t xml:space="preserve"> submit the application form revised accordingly</w:t>
      </w:r>
      <w:bookmarkEnd w:id="90"/>
      <w:r w:rsidRPr="00807DAF">
        <w:t>.</w:t>
      </w:r>
      <w:bookmarkEnd w:id="89"/>
    </w:p>
    <w:p w14:paraId="266C6016" w14:textId="77777777" w:rsidR="001558C4" w:rsidRPr="00807DAF" w:rsidRDefault="00F37259" w:rsidP="00F61F60">
      <w:pPr>
        <w:pStyle w:val="Guidelines2"/>
        <w:numPr>
          <w:ilvl w:val="1"/>
          <w:numId w:val="6"/>
        </w:numPr>
      </w:pPr>
      <w:bookmarkStart w:id="91" w:name="_Toc185257690"/>
      <w:r>
        <w:t>Award decision</w:t>
      </w:r>
      <w:bookmarkEnd w:id="91"/>
    </w:p>
    <w:p w14:paraId="26AEEFF4" w14:textId="77777777" w:rsidR="00DB5567" w:rsidRDefault="008B3646" w:rsidP="00F36C74">
      <w:pPr>
        <w:spacing w:after="120" w:line="240" w:lineRule="atLeast"/>
        <w:rPr>
          <w:szCs w:val="22"/>
        </w:rPr>
      </w:pPr>
      <w:bookmarkStart w:id="92" w:name="_Hlk163810655"/>
      <w:r w:rsidRPr="00807DAF">
        <w:rPr>
          <w:szCs w:val="22"/>
        </w:rPr>
        <w:t xml:space="preserve">After </w:t>
      </w:r>
      <w:r w:rsidR="00DB5567" w:rsidRPr="00807DAF">
        <w:rPr>
          <w:szCs w:val="22"/>
        </w:rPr>
        <w:t>verif</w:t>
      </w:r>
      <w:r w:rsidRPr="00807DAF">
        <w:rPr>
          <w:szCs w:val="22"/>
        </w:rPr>
        <w:t>ying</w:t>
      </w:r>
      <w:r w:rsidR="00DB5567" w:rsidRPr="00807DAF">
        <w:rPr>
          <w:szCs w:val="22"/>
        </w:rPr>
        <w:t xml:space="preserve"> the supporting documents</w:t>
      </w:r>
      <w:r w:rsidR="0000050E">
        <w:rPr>
          <w:szCs w:val="22"/>
        </w:rPr>
        <w:t xml:space="preserve"> (step 3)</w:t>
      </w:r>
      <w:r w:rsidRPr="00807DAF">
        <w:rPr>
          <w:szCs w:val="22"/>
        </w:rPr>
        <w:t>,</w:t>
      </w:r>
      <w:r w:rsidR="00DB5567" w:rsidRPr="00807DAF">
        <w:rPr>
          <w:szCs w:val="22"/>
        </w:rPr>
        <w:t xml:space="preserve"> the </w:t>
      </w:r>
      <w:r w:rsidR="00F65B55">
        <w:rPr>
          <w:szCs w:val="22"/>
        </w:rPr>
        <w:t>e</w:t>
      </w:r>
      <w:r w:rsidR="00DB5567" w:rsidRPr="00807DAF">
        <w:rPr>
          <w:szCs w:val="22"/>
        </w:rPr>
        <w:t xml:space="preserve">valuation </w:t>
      </w:r>
      <w:r w:rsidR="00F65B55">
        <w:rPr>
          <w:szCs w:val="22"/>
        </w:rPr>
        <w:t>c</w:t>
      </w:r>
      <w:r w:rsidR="00DB5567" w:rsidRPr="00807DAF">
        <w:rPr>
          <w:szCs w:val="22"/>
        </w:rPr>
        <w:t xml:space="preserve">ommittee will make a final recommendation to the </w:t>
      </w:r>
      <w:r w:rsidR="00A33874">
        <w:rPr>
          <w:szCs w:val="22"/>
        </w:rPr>
        <w:t>c</w:t>
      </w:r>
      <w:r w:rsidR="00DB5567" w:rsidRPr="00807DAF">
        <w:rPr>
          <w:szCs w:val="22"/>
        </w:rPr>
        <w:t xml:space="preserve">ontracting </w:t>
      </w:r>
      <w:r w:rsidR="00A33874">
        <w:rPr>
          <w:szCs w:val="22"/>
        </w:rPr>
        <w:t>a</w:t>
      </w:r>
      <w:r w:rsidR="00DB5567" w:rsidRPr="00807DAF">
        <w:rPr>
          <w:szCs w:val="22"/>
        </w:rPr>
        <w:t>uthority</w:t>
      </w:r>
      <w:r w:rsidRPr="00807DAF">
        <w:rPr>
          <w:szCs w:val="22"/>
        </w:rPr>
        <w:t>,</w:t>
      </w:r>
      <w:r w:rsidR="00DB5567" w:rsidRPr="00807DAF">
        <w:rPr>
          <w:szCs w:val="22"/>
        </w:rPr>
        <w:t xml:space="preserve"> which will decide on the award of grants.</w:t>
      </w:r>
    </w:p>
    <w:p w14:paraId="203833D1" w14:textId="77777777" w:rsidR="00F37259" w:rsidRDefault="00F37259" w:rsidP="00F36C74">
      <w:pPr>
        <w:spacing w:after="120" w:line="240" w:lineRule="atLeast"/>
        <w:rPr>
          <w:szCs w:val="22"/>
        </w:rPr>
      </w:pPr>
      <w:r>
        <w:rPr>
          <w:szCs w:val="22"/>
        </w:rPr>
        <w:t xml:space="preserve">The contracting authority may decide not to award any grants and cancel the call for proposals without having the applicants any right to compensation. </w:t>
      </w:r>
    </w:p>
    <w:p w14:paraId="27289A0A" w14:textId="77777777" w:rsidR="00F37259" w:rsidRPr="00807DAF" w:rsidRDefault="00F37259" w:rsidP="00F36C74">
      <w:pPr>
        <w:spacing w:after="120" w:line="240" w:lineRule="atLeast"/>
        <w:rPr>
          <w:szCs w:val="22"/>
        </w:rPr>
      </w:pPr>
      <w:bookmarkStart w:id="93" w:name="_Hlk163810679"/>
      <w:r>
        <w:rPr>
          <w:szCs w:val="22"/>
        </w:rPr>
        <w:t xml:space="preserve">The award decision shall indicate the successful applicants, the </w:t>
      </w:r>
      <w:r w:rsidR="0027778E">
        <w:rPr>
          <w:szCs w:val="22"/>
        </w:rPr>
        <w:t xml:space="preserve">names of the </w:t>
      </w:r>
      <w:r>
        <w:rPr>
          <w:szCs w:val="22"/>
        </w:rPr>
        <w:t>applicants rejected, and a reserve list (if any).</w:t>
      </w:r>
      <w:bookmarkEnd w:id="92"/>
      <w:bookmarkEnd w:id="93"/>
    </w:p>
    <w:p w14:paraId="5BAA458D" w14:textId="77777777" w:rsidR="009348D1" w:rsidRPr="00807DAF" w:rsidRDefault="00B67806" w:rsidP="00F61F60">
      <w:pPr>
        <w:pStyle w:val="Guidelines2"/>
        <w:numPr>
          <w:ilvl w:val="1"/>
          <w:numId w:val="6"/>
        </w:numPr>
      </w:pPr>
      <w:bookmarkStart w:id="94" w:name="_Toc185257691"/>
      <w:r w:rsidRPr="00807DAF">
        <w:t>Notification of the Contracting Authority’s decision</w:t>
      </w:r>
      <w:bookmarkEnd w:id="94"/>
    </w:p>
    <w:p w14:paraId="2E3B1CD9" w14:textId="77777777" w:rsidR="00061086" w:rsidRDefault="006B3FDD" w:rsidP="00F36C74">
      <w:pPr>
        <w:spacing w:after="120" w:line="240" w:lineRule="atLeast"/>
      </w:pPr>
      <w:r w:rsidRPr="00807DAF">
        <w:t xml:space="preserve">The </w:t>
      </w:r>
      <w:r>
        <w:t>lead a</w:t>
      </w:r>
      <w:r w:rsidRPr="00807DAF">
        <w:t xml:space="preserve">pplicants will be informed in writing of the </w:t>
      </w:r>
      <w:r w:rsidR="00C27B90">
        <w:t>c</w:t>
      </w:r>
      <w:r w:rsidR="00C27B90" w:rsidRPr="00807DAF">
        <w:t xml:space="preserve">ontracting </w:t>
      </w:r>
      <w:r w:rsidR="00C27B90">
        <w:t>a</w:t>
      </w:r>
      <w:r w:rsidR="00C27B90" w:rsidRPr="00807DAF">
        <w:t xml:space="preserve">uthority’s </w:t>
      </w:r>
      <w:r w:rsidRPr="00807DAF">
        <w:t>decision concerning their application</w:t>
      </w:r>
      <w:r w:rsidR="00061086">
        <w:t>.</w:t>
      </w:r>
    </w:p>
    <w:p w14:paraId="2CCE7684" w14:textId="77777777" w:rsidR="00061086" w:rsidRDefault="00061086" w:rsidP="00F36C74">
      <w:pPr>
        <w:spacing w:after="120" w:line="240" w:lineRule="atLeast"/>
      </w:pPr>
      <w:r>
        <w:t xml:space="preserve">In case of rejection, they will be informed about the reasons for the </w:t>
      </w:r>
      <w:r w:rsidRPr="00807DAF">
        <w:t xml:space="preserve">negative decision. </w:t>
      </w:r>
      <w:r>
        <w:t>For the avoidance of doubt, please note that for a</w:t>
      </w:r>
      <w:r w:rsidRPr="00F9130D">
        <w:t>pplications rejected for reasons such as non-compliance with the admissibility requirements (for example, if the application was sent after the deadline), with the eligibility (the entity or person is not part of the predefined eligible population of entities or persons), the selection (the entity does not have financial capacity or professional or operational capacity) and the award criteria (the proposal does not comply with the predefined requirements such as quality, cost</w:t>
      </w:r>
      <w:r>
        <w:t>/</w:t>
      </w:r>
      <w:r w:rsidRPr="00F9130D">
        <w:t>efficiency)</w:t>
      </w:r>
      <w:r>
        <w:t xml:space="preserve">, no prior </w:t>
      </w:r>
      <w:r w:rsidRPr="00F9130D">
        <w:t>adversarial procedure</w:t>
      </w:r>
      <w:r>
        <w:t xml:space="preserve"> is required.</w:t>
      </w:r>
    </w:p>
    <w:p w14:paraId="07A57CF3" w14:textId="77777777" w:rsidR="00806F79" w:rsidRDefault="00806F79" w:rsidP="00F36C74">
      <w:pPr>
        <w:spacing w:after="120" w:line="240" w:lineRule="atLeast"/>
      </w:pPr>
      <w:bookmarkStart w:id="95" w:name="_Hlk164276445"/>
      <w:r>
        <w:t>Applicants placed on the reserve list will also be informed. The applicable terms to the reserve list are laid down in Section 6.5</w:t>
      </w:r>
      <w:r w:rsidR="00633370">
        <w:t>.</w:t>
      </w:r>
      <w:r>
        <w:t xml:space="preserve"> of the practical guide.</w:t>
      </w:r>
    </w:p>
    <w:p w14:paraId="72B72554" w14:textId="77777777" w:rsidR="00C27B90" w:rsidRDefault="00C27B90" w:rsidP="00F36C74">
      <w:pPr>
        <w:spacing w:after="120" w:line="240" w:lineRule="atLeast"/>
      </w:pPr>
      <w:r>
        <w:t>The successful applicants</w:t>
      </w:r>
      <w:r w:rsidR="0045224D">
        <w:t xml:space="preserve"> shall also be informed, and will be requested to provide some information and documents, including (for grants exceeding EUR 60 000) the </w:t>
      </w:r>
      <w:proofErr w:type="spellStart"/>
      <w:r w:rsidR="0045224D">
        <w:t>self evaluation</w:t>
      </w:r>
      <w:proofErr w:type="spellEnd"/>
      <w:r w:rsidR="0045224D">
        <w:t xml:space="preserve"> questionnaire on SEA-H. The lead applicant as well as all co-applicants and affiliated entities other than (</w:t>
      </w:r>
      <w:proofErr w:type="spellStart"/>
      <w:r w:rsidR="0045224D">
        <w:t>i</w:t>
      </w:r>
      <w:proofErr w:type="spellEnd"/>
      <w:r w:rsidR="0045224D">
        <w:t>) natural persons (ii) pillar-assessed entities and (iii) governments and other public bodies shall fill in the self-evaluation questionnaire assessing the organisation’s internal policy and procedures against sexual exploitation, abuse and harassment (SEA-H) (Annex L) (see Section 6.2.10 of the practical guide).</w:t>
      </w:r>
      <w:bookmarkEnd w:id="95"/>
    </w:p>
    <w:p w14:paraId="77200A6A" w14:textId="77777777" w:rsidR="00F93638" w:rsidRPr="00F93638" w:rsidRDefault="00F93638" w:rsidP="001B7D50">
      <w:pPr>
        <w:ind w:right="-1"/>
        <w:rPr>
          <w:szCs w:val="22"/>
        </w:rPr>
      </w:pPr>
      <w:r w:rsidRPr="00851F4F">
        <w:rPr>
          <w:szCs w:val="22"/>
        </w:rPr>
        <w:t>Successful applicants will also be informed if the first instalment of pre-financing is subject to the validation of a financial guarantee by the contracting authority</w:t>
      </w:r>
      <w:r w:rsidRPr="000F5467">
        <w:rPr>
          <w:szCs w:val="22"/>
        </w:rPr>
        <w:t xml:space="preserve">. In this case, the applicant will be requested to </w:t>
      </w:r>
      <w:bookmarkStart w:id="96" w:name="_Hlk168911925"/>
      <w:r w:rsidRPr="00851F4F">
        <w:rPr>
          <w:szCs w:val="22"/>
        </w:rPr>
        <w:t xml:space="preserve">send the </w:t>
      </w:r>
      <w:r w:rsidRPr="00851F4F">
        <w:rPr>
          <w:szCs w:val="22"/>
        </w:rPr>
        <w:lastRenderedPageBreak/>
        <w:t xml:space="preserve">guarantee </w:t>
      </w:r>
      <w:r>
        <w:rPr>
          <w:szCs w:val="22"/>
        </w:rPr>
        <w:t>in time to proceed to the payment of the first instalment in accordance with the payment provisions of the grant contract</w:t>
      </w:r>
      <w:bookmarkEnd w:id="96"/>
      <w:r w:rsidRPr="000F5467">
        <w:rPr>
          <w:szCs w:val="22"/>
        </w:rPr>
        <w:t>.</w:t>
      </w:r>
    </w:p>
    <w:p w14:paraId="233C6AF0" w14:textId="77777777" w:rsidR="00AA4FE0" w:rsidRDefault="006B3FDD" w:rsidP="00F36C74">
      <w:pPr>
        <w:spacing w:after="120" w:line="240" w:lineRule="atLeast"/>
      </w:pPr>
      <w:r w:rsidRPr="00FE05D4">
        <w:t>This letter will</w:t>
      </w:r>
      <w:r>
        <w:t xml:space="preserve"> be sent by e-mail and will</w:t>
      </w:r>
      <w:r w:rsidRPr="00FE05D4">
        <w:t xml:space="preserve"> appear online automatically in the PROSPECT profile of the</w:t>
      </w:r>
      <w:r>
        <w:t xml:space="preserve"> user who submitted the application</w:t>
      </w:r>
      <w:r w:rsidRPr="00FE05D4">
        <w:t xml:space="preserve">. </w:t>
      </w:r>
      <w:r>
        <w:t>Lead a</w:t>
      </w:r>
      <w:r w:rsidRPr="00FE05D4">
        <w:t xml:space="preserve">pplicants who, in exceptional cases (see </w:t>
      </w:r>
      <w:r w:rsidR="00061086">
        <w:t>S</w:t>
      </w:r>
      <w:r w:rsidR="00061086" w:rsidRPr="00FE05D4">
        <w:t xml:space="preserve">ection </w:t>
      </w:r>
      <w:r w:rsidRPr="00FE05D4">
        <w:t>2.2), had to submit their application by post</w:t>
      </w:r>
      <w:r w:rsidR="00657C92">
        <w:t>, private courier</w:t>
      </w:r>
      <w:r w:rsidRPr="00FE05D4">
        <w:t xml:space="preserve"> or hand-delivery, will</w:t>
      </w:r>
      <w:r>
        <w:t xml:space="preserve"> </w:t>
      </w:r>
      <w:r w:rsidRPr="00FE05D4">
        <w:t xml:space="preserve">be informed </w:t>
      </w:r>
      <w:r>
        <w:t>by email or by post if they did not provide any e-mail address</w:t>
      </w:r>
      <w:r w:rsidRPr="00FE05D4">
        <w:t>.</w:t>
      </w:r>
      <w:r>
        <w:t xml:space="preserve"> Therefore, please check regularly your PROSPECT profile, </w:t>
      </w:r>
      <w:proofErr w:type="gramStart"/>
      <w:r>
        <w:t>taking into account</w:t>
      </w:r>
      <w:proofErr w:type="gramEnd"/>
      <w:r>
        <w:t xml:space="preserve"> the indicative timetable below.</w:t>
      </w:r>
      <w:r w:rsidR="0007498A">
        <w:t xml:space="preserve"> </w:t>
      </w:r>
      <w:r w:rsidR="0007498A" w:rsidRPr="007B1B61">
        <w:t>Please note that the lead applicant is the intermediary for all communications between applicants and the contracting authority</w:t>
      </w:r>
      <w:r w:rsidR="0007498A">
        <w:t xml:space="preserve"> during the procedure</w:t>
      </w:r>
      <w:r w:rsidR="0007498A" w:rsidRPr="007B1B61">
        <w:t>.</w:t>
      </w:r>
    </w:p>
    <w:p w14:paraId="5FDF385A" w14:textId="77777777" w:rsidR="000D5F55" w:rsidRDefault="008A7A99" w:rsidP="00F36C74">
      <w:pPr>
        <w:spacing w:after="120" w:line="240" w:lineRule="atLeast"/>
      </w:pPr>
      <w:r w:rsidRPr="00807DAF">
        <w:t>An a</w:t>
      </w:r>
      <w:r w:rsidR="000D5F55" w:rsidRPr="00807DAF">
        <w:t xml:space="preserve">pplicant believing that </w:t>
      </w:r>
      <w:r w:rsidRPr="00807DAF">
        <w:t xml:space="preserve">it has </w:t>
      </w:r>
      <w:r w:rsidR="000D5F55" w:rsidRPr="00807DAF">
        <w:t xml:space="preserve">been harmed by an error or irregularity during the award process may </w:t>
      </w:r>
      <w:r w:rsidR="008B3646" w:rsidRPr="00807DAF">
        <w:t xml:space="preserve">lodge </w:t>
      </w:r>
      <w:r w:rsidR="00260548" w:rsidRPr="00807DAF">
        <w:t xml:space="preserve">a complaint. See further </w:t>
      </w:r>
      <w:r w:rsidR="00A33874">
        <w:t>S</w:t>
      </w:r>
      <w:r w:rsidR="00896ECA" w:rsidRPr="00807DAF">
        <w:t>ection</w:t>
      </w:r>
      <w:r w:rsidR="00260548" w:rsidRPr="00807DAF">
        <w:t xml:space="preserve"> 2.</w:t>
      </w:r>
      <w:r w:rsidR="0007498A">
        <w:t>12</w:t>
      </w:r>
      <w:r w:rsidR="00260548" w:rsidRPr="00807DAF">
        <w:t xml:space="preserve"> of the </w:t>
      </w:r>
      <w:r w:rsidR="009D7AC9">
        <w:t>p</w:t>
      </w:r>
      <w:r w:rsidR="00260548" w:rsidRPr="00807DAF">
        <w:t xml:space="preserve">ractical </w:t>
      </w:r>
      <w:r w:rsidR="009D7AC9">
        <w:t>g</w:t>
      </w:r>
      <w:r w:rsidR="00260548" w:rsidRPr="00807DAF">
        <w:t xml:space="preserve">uide. </w:t>
      </w:r>
    </w:p>
    <w:p w14:paraId="1181B342" w14:textId="77777777" w:rsidR="0000050E" w:rsidRDefault="0000050E" w:rsidP="00F61F60">
      <w:pPr>
        <w:pStyle w:val="Guidelines2"/>
        <w:numPr>
          <w:ilvl w:val="1"/>
          <w:numId w:val="6"/>
        </w:numPr>
      </w:pPr>
      <w:bookmarkStart w:id="97" w:name="_Toc185257692"/>
      <w:bookmarkStart w:id="98" w:name="_Hlk163756364"/>
      <w:bookmarkStart w:id="99" w:name="_Toc40507655"/>
      <w:bookmarkStart w:id="100" w:name="_Hlk163810750"/>
      <w:r>
        <w:t>Signature of the grant contract</w:t>
      </w:r>
      <w:bookmarkEnd w:id="97"/>
    </w:p>
    <w:bookmarkEnd w:id="98"/>
    <w:bookmarkEnd w:id="99"/>
    <w:p w14:paraId="37C6A74B" w14:textId="77777777" w:rsidR="00511FEE" w:rsidRDefault="00511FEE" w:rsidP="00F36C74">
      <w:pPr>
        <w:spacing w:after="120" w:line="240" w:lineRule="atLeast"/>
      </w:pPr>
      <w:r w:rsidRPr="00807DAF">
        <w:t xml:space="preserve">Following the decision to award a grant, the </w:t>
      </w:r>
      <w:r w:rsidR="00F65B55">
        <w:t>b</w:t>
      </w:r>
      <w:r w:rsidRPr="00807DAF">
        <w:t>eneficiary</w:t>
      </w:r>
      <w:r w:rsidR="00FA2479" w:rsidRPr="00807DAF">
        <w:t>(</w:t>
      </w:r>
      <w:proofErr w:type="spellStart"/>
      <w:r w:rsidR="00FA2479" w:rsidRPr="00807DAF">
        <w:t>ies</w:t>
      </w:r>
      <w:proofErr w:type="spellEnd"/>
      <w:r w:rsidR="00FA2479" w:rsidRPr="00807DAF">
        <w:t>)</w:t>
      </w:r>
      <w:r w:rsidRPr="00807DAF">
        <w:t xml:space="preserve"> will be offered a contract based on the </w:t>
      </w:r>
      <w:r w:rsidR="00F65B55">
        <w:t xml:space="preserve">standard </w:t>
      </w:r>
      <w:r w:rsidR="00450369" w:rsidRPr="00807DAF">
        <w:t xml:space="preserve">grant </w:t>
      </w:r>
      <w:r w:rsidRPr="00807DAF">
        <w:t>contract (</w:t>
      </w:r>
      <w:r w:rsidR="00AA4FE0" w:rsidRPr="00807DAF">
        <w:t xml:space="preserve">see </w:t>
      </w:r>
      <w:r w:rsidRPr="00807DAF">
        <w:t xml:space="preserve">Annex </w:t>
      </w:r>
      <w:r w:rsidR="00826F51">
        <w:t>G</w:t>
      </w:r>
      <w:r w:rsidR="004A51E9" w:rsidRPr="00807DAF">
        <w:t xml:space="preserve"> of these </w:t>
      </w:r>
      <w:r w:rsidR="00FE6B79">
        <w:t>g</w:t>
      </w:r>
      <w:r w:rsidR="004A51E9" w:rsidRPr="00807DAF">
        <w:t>uidelines</w:t>
      </w:r>
      <w:r w:rsidRPr="00807DAF">
        <w:t xml:space="preserve">). </w:t>
      </w:r>
      <w:r w:rsidR="00D078E2" w:rsidRPr="00807DAF">
        <w:t xml:space="preserve">By signing the </w:t>
      </w:r>
      <w:r w:rsidR="009B7BB7" w:rsidRPr="00807DAF">
        <w:t>a</w:t>
      </w:r>
      <w:r w:rsidR="00D078E2" w:rsidRPr="00807DAF">
        <w:t>pplication form (Annex A</w:t>
      </w:r>
      <w:r w:rsidR="004A51E9" w:rsidRPr="00807DAF">
        <w:t xml:space="preserve"> of these </w:t>
      </w:r>
      <w:r w:rsidR="00F65B55">
        <w:t>g</w:t>
      </w:r>
      <w:r w:rsidR="004A51E9" w:rsidRPr="00807DAF">
        <w:t>uidelines</w:t>
      </w:r>
      <w:r w:rsidR="00D078E2" w:rsidRPr="00807DAF">
        <w:t>), the applicant</w:t>
      </w:r>
      <w:r w:rsidR="00FA2479" w:rsidRPr="00807DAF">
        <w:t>s</w:t>
      </w:r>
      <w:r w:rsidR="00D078E2" w:rsidRPr="00807DAF">
        <w:t xml:space="preserve"> </w:t>
      </w:r>
      <w:r w:rsidR="009B7BB7" w:rsidRPr="00807DAF">
        <w:t>agree</w:t>
      </w:r>
      <w:r w:rsidR="00D078E2" w:rsidRPr="00807DAF">
        <w:t xml:space="preserve">, </w:t>
      </w:r>
      <w:r w:rsidR="009B7BB7" w:rsidRPr="00807DAF">
        <w:t>if</w:t>
      </w:r>
      <w:r w:rsidR="00D078E2" w:rsidRPr="00807DAF">
        <w:t xml:space="preserve"> awarded a grant,</w:t>
      </w:r>
      <w:r w:rsidR="009B7BB7" w:rsidRPr="00807DAF">
        <w:t xml:space="preserve"> to accept</w:t>
      </w:r>
      <w:r w:rsidR="00D078E2" w:rsidRPr="00807DAF">
        <w:t xml:space="preserve"> the </w:t>
      </w:r>
      <w:r w:rsidR="009B7BB7" w:rsidRPr="00807DAF">
        <w:t>c</w:t>
      </w:r>
      <w:r w:rsidR="00D078E2" w:rsidRPr="00807DAF">
        <w:t xml:space="preserve">ontractual conditions </w:t>
      </w:r>
      <w:r w:rsidR="009B7BB7" w:rsidRPr="00807DAF">
        <w:t>of</w:t>
      </w:r>
      <w:r w:rsidR="00D078E2" w:rsidRPr="00807DAF">
        <w:t xml:space="preserve"> the </w:t>
      </w:r>
      <w:r w:rsidR="00450369" w:rsidRPr="00807DAF">
        <w:t>standard grant contract</w:t>
      </w:r>
      <w:r w:rsidR="00D23C8D" w:rsidRPr="00807DAF">
        <w:t>.</w:t>
      </w:r>
      <w:r w:rsidR="0026609F" w:rsidRPr="0026609F">
        <w:t xml:space="preserve"> </w:t>
      </w:r>
      <w:r w:rsidR="0026609F">
        <w:t>Where the c</w:t>
      </w:r>
      <w:r w:rsidR="0026609F" w:rsidRPr="0026609F">
        <w:t xml:space="preserve">oordinator is an </w:t>
      </w:r>
      <w:proofErr w:type="gramStart"/>
      <w:r w:rsidR="0026609F" w:rsidRPr="0026609F">
        <w:t>organisation</w:t>
      </w:r>
      <w:proofErr w:type="gramEnd"/>
      <w:r w:rsidR="0026609F" w:rsidRPr="0026609F">
        <w:t xml:space="preserve"> whose pillars have been posit</w:t>
      </w:r>
      <w:r w:rsidR="0026609F">
        <w:t>ively assessed, it will sign a c</w:t>
      </w:r>
      <w:r w:rsidR="0026609F" w:rsidRPr="0026609F">
        <w:t>ontributio</w:t>
      </w:r>
      <w:r w:rsidR="0026609F">
        <w:t>n agreement based on the contribution a</w:t>
      </w:r>
      <w:r w:rsidR="0026609F" w:rsidRPr="0026609F">
        <w:t>greement template</w:t>
      </w:r>
      <w:r w:rsidR="00530E9C">
        <w:t>. In this case</w:t>
      </w:r>
      <w:r w:rsidR="00C03269">
        <w:t>,</w:t>
      </w:r>
      <w:r w:rsidR="00530E9C">
        <w:t xml:space="preserve"> references to provisions of the standard grant contract and its annexes shall not apply. References in these </w:t>
      </w:r>
      <w:r w:rsidR="00F65B55">
        <w:t>g</w:t>
      </w:r>
      <w:r w:rsidR="00530E9C">
        <w:t xml:space="preserve">uidelines to the </w:t>
      </w:r>
      <w:r w:rsidR="00F65B55">
        <w:t>g</w:t>
      </w:r>
      <w:r w:rsidR="00530E9C">
        <w:t xml:space="preserve">rant </w:t>
      </w:r>
      <w:r w:rsidR="00F65B55">
        <w:t>c</w:t>
      </w:r>
      <w:r w:rsidR="00530E9C">
        <w:t>ontract shall be understood as references to the relevant provisions of the</w:t>
      </w:r>
      <w:r w:rsidR="0026609F">
        <w:t xml:space="preserve"> c</w:t>
      </w:r>
      <w:r w:rsidR="0026609F" w:rsidRPr="0026609F">
        <w:t>ontributio</w:t>
      </w:r>
      <w:r w:rsidR="0026609F">
        <w:t>n agreement</w:t>
      </w:r>
      <w:r w:rsidR="00530E9C">
        <w:t>.</w:t>
      </w:r>
    </w:p>
    <w:p w14:paraId="5B0CCA8D" w14:textId="77777777" w:rsidR="0000050E" w:rsidRPr="0000050E" w:rsidRDefault="0000050E" w:rsidP="00F36C74">
      <w:pPr>
        <w:widowControl w:val="0"/>
        <w:autoSpaceDE w:val="0"/>
        <w:autoSpaceDN w:val="0"/>
        <w:adjustRightInd w:val="0"/>
        <w:spacing w:after="120" w:line="240" w:lineRule="atLeast"/>
        <w:rPr>
          <w:lang w:eastAsia="en-GB"/>
        </w:rPr>
      </w:pPr>
      <w:r w:rsidRPr="0000050E">
        <w:rPr>
          <w:lang w:eastAsia="en-GB"/>
        </w:rPr>
        <w:t xml:space="preserve">The budget proposed for the action by the successful applicants at the call for proposals stage must be corrected to remove any obvious arithmetical errors or ineligible costs prior to signing the contract. The description of the action is corrected accordingly if need be. </w:t>
      </w:r>
    </w:p>
    <w:p w14:paraId="14C3690E" w14:textId="77777777" w:rsidR="0000050E" w:rsidRPr="0000050E" w:rsidRDefault="0000050E" w:rsidP="00F36C74">
      <w:pPr>
        <w:widowControl w:val="0"/>
        <w:autoSpaceDE w:val="0"/>
        <w:autoSpaceDN w:val="0"/>
        <w:adjustRightInd w:val="0"/>
        <w:spacing w:after="120" w:line="240" w:lineRule="atLeast"/>
        <w:rPr>
          <w:lang w:eastAsia="en-GB"/>
        </w:rPr>
      </w:pPr>
      <w:r w:rsidRPr="0000050E">
        <w:rPr>
          <w:lang w:eastAsia="en-GB"/>
        </w:rPr>
        <w:t>The contracting authority may decide that other clarifications or minor corrections may be made to the description of the action or to the budget in so far as they do not call into question the grant award decision, do not conflict with equal treatment of applicants, and:</w:t>
      </w:r>
    </w:p>
    <w:p w14:paraId="27A1EBCB" w14:textId="77777777" w:rsidR="0000050E" w:rsidRPr="0000050E" w:rsidRDefault="0000050E" w:rsidP="00F61F60">
      <w:pPr>
        <w:widowControl w:val="0"/>
        <w:numPr>
          <w:ilvl w:val="3"/>
          <w:numId w:val="27"/>
        </w:numPr>
        <w:autoSpaceDE w:val="0"/>
        <w:autoSpaceDN w:val="0"/>
        <w:adjustRightInd w:val="0"/>
        <w:spacing w:after="120" w:line="240" w:lineRule="atLeast"/>
        <w:ind w:left="709"/>
        <w:jc w:val="left"/>
        <w:rPr>
          <w:lang w:eastAsia="en-GB"/>
        </w:rPr>
      </w:pPr>
      <w:r w:rsidRPr="0000050E">
        <w:rPr>
          <w:lang w:eastAsia="en-GB"/>
        </w:rPr>
        <w:t>relate to matters clearly identified by the evaluation committee; or</w:t>
      </w:r>
    </w:p>
    <w:p w14:paraId="09DF9CF2" w14:textId="77777777" w:rsidR="0000050E" w:rsidRPr="0000050E" w:rsidRDefault="0000050E" w:rsidP="00F61F60">
      <w:pPr>
        <w:widowControl w:val="0"/>
        <w:numPr>
          <w:ilvl w:val="3"/>
          <w:numId w:val="27"/>
        </w:numPr>
        <w:autoSpaceDE w:val="0"/>
        <w:autoSpaceDN w:val="0"/>
        <w:adjustRightInd w:val="0"/>
        <w:spacing w:after="120" w:line="240" w:lineRule="atLeast"/>
        <w:ind w:left="709"/>
        <w:rPr>
          <w:lang w:eastAsia="en-GB"/>
        </w:rPr>
      </w:pPr>
      <w:r w:rsidRPr="0000050E">
        <w:rPr>
          <w:lang w:eastAsia="en-GB"/>
        </w:rPr>
        <w:t>aim at taking into consideration changes that have occurred since the date of receipt of the proposal.</w:t>
      </w:r>
    </w:p>
    <w:p w14:paraId="6294AD5A" w14:textId="77777777" w:rsidR="0000050E" w:rsidRPr="0000050E" w:rsidRDefault="0000050E" w:rsidP="00F36C74">
      <w:pPr>
        <w:widowControl w:val="0"/>
        <w:tabs>
          <w:tab w:val="num" w:pos="1077"/>
        </w:tabs>
        <w:autoSpaceDE w:val="0"/>
        <w:autoSpaceDN w:val="0"/>
        <w:adjustRightInd w:val="0"/>
        <w:spacing w:after="120" w:line="240" w:lineRule="atLeast"/>
        <w:rPr>
          <w:lang w:eastAsia="en-GB"/>
        </w:rPr>
      </w:pPr>
      <w:r w:rsidRPr="0000050E">
        <w:rPr>
          <w:lang w:eastAsia="en-GB"/>
        </w:rPr>
        <w:t>These amendments cannot lead to an increase in either the amount of the grant or the percentage of the European Union contribution as set in the guidelines of the call for proposals. In this respect, records of the contacts with the applicants must be kept on the file.</w:t>
      </w:r>
    </w:p>
    <w:p w14:paraId="7CCB53CC" w14:textId="77777777" w:rsidR="0000050E" w:rsidRPr="0000050E" w:rsidRDefault="0000050E" w:rsidP="00F36C74">
      <w:pPr>
        <w:widowControl w:val="0"/>
        <w:tabs>
          <w:tab w:val="num" w:pos="1077"/>
        </w:tabs>
        <w:autoSpaceDE w:val="0"/>
        <w:autoSpaceDN w:val="0"/>
        <w:adjustRightInd w:val="0"/>
        <w:spacing w:after="120" w:line="240" w:lineRule="atLeast"/>
        <w:rPr>
          <w:lang w:eastAsia="en-GB"/>
        </w:rPr>
      </w:pPr>
      <w:r w:rsidRPr="0000050E">
        <w:rPr>
          <w:lang w:eastAsia="en-GB"/>
        </w:rPr>
        <w:t xml:space="preserve">In no case the conditions announced in the guidelines can be altered at this stage. Apart from the above-mentioned clarifications and/or corrections, any other alteration of the initial proposal or deviation from the award conditions laid down in the guidelines is strictly prohibited. </w:t>
      </w:r>
    </w:p>
    <w:p w14:paraId="1F5AADDA" w14:textId="77777777" w:rsidR="0000050E" w:rsidRDefault="0000050E" w:rsidP="00F36C74">
      <w:pPr>
        <w:widowControl w:val="0"/>
        <w:autoSpaceDE w:val="0"/>
        <w:autoSpaceDN w:val="0"/>
        <w:adjustRightInd w:val="0"/>
        <w:spacing w:after="120" w:line="240" w:lineRule="atLeast"/>
        <w:rPr>
          <w:b/>
          <w:lang w:eastAsia="en-GB"/>
        </w:rPr>
      </w:pPr>
      <w:r w:rsidRPr="0000050E">
        <w:rPr>
          <w:b/>
          <w:lang w:eastAsia="en-GB"/>
        </w:rPr>
        <w:t>Any other alteration to the successful applicant’s proposal, or negotiation of it, is prohibited.</w:t>
      </w:r>
    </w:p>
    <w:p w14:paraId="74CC37AB" w14:textId="77777777" w:rsidR="00B374BF" w:rsidRDefault="00B374BF" w:rsidP="00F61F60">
      <w:pPr>
        <w:pStyle w:val="Guidelines2"/>
        <w:numPr>
          <w:ilvl w:val="1"/>
          <w:numId w:val="6"/>
        </w:numPr>
      </w:pPr>
      <w:bookmarkStart w:id="101" w:name="_Toc185257693"/>
      <w:r>
        <w:t>Indicative timetable</w:t>
      </w:r>
      <w:bookmarkEnd w:id="100"/>
      <w:bookmarkEnd w:id="101"/>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B374BF" w:rsidRPr="00807DAF" w14:paraId="6D80C9E6" w14:textId="77777777" w:rsidTr="00092AB2">
        <w:tc>
          <w:tcPr>
            <w:tcW w:w="4678" w:type="dxa"/>
          </w:tcPr>
          <w:p w14:paraId="59809328" w14:textId="77777777" w:rsidR="00B374BF" w:rsidRPr="00807DAF" w:rsidRDefault="00B374BF" w:rsidP="00F36C74">
            <w:pPr>
              <w:spacing w:after="120" w:line="240" w:lineRule="atLeast"/>
              <w:rPr>
                <w:szCs w:val="22"/>
              </w:rPr>
            </w:pPr>
          </w:p>
        </w:tc>
        <w:tc>
          <w:tcPr>
            <w:tcW w:w="2552" w:type="dxa"/>
            <w:shd w:val="pct10" w:color="auto" w:fill="FFFFFF"/>
          </w:tcPr>
          <w:p w14:paraId="349A3F12" w14:textId="77777777" w:rsidR="00B374BF" w:rsidRPr="00807DAF" w:rsidRDefault="00B374BF" w:rsidP="00F36C74">
            <w:pPr>
              <w:spacing w:after="120" w:line="240" w:lineRule="atLeast"/>
              <w:jc w:val="center"/>
              <w:rPr>
                <w:b/>
                <w:szCs w:val="22"/>
              </w:rPr>
            </w:pPr>
            <w:r w:rsidRPr="00807DAF">
              <w:rPr>
                <w:b/>
                <w:szCs w:val="22"/>
              </w:rPr>
              <w:t>DATE</w:t>
            </w:r>
          </w:p>
        </w:tc>
        <w:tc>
          <w:tcPr>
            <w:tcW w:w="2551" w:type="dxa"/>
            <w:shd w:val="pct10" w:color="auto" w:fill="FFFFFF"/>
          </w:tcPr>
          <w:p w14:paraId="1C7271B4" w14:textId="77777777" w:rsidR="00B374BF" w:rsidRPr="00807DAF" w:rsidRDefault="00B374BF" w:rsidP="00F36C74">
            <w:pPr>
              <w:spacing w:after="120" w:line="240" w:lineRule="atLeast"/>
              <w:jc w:val="center"/>
              <w:rPr>
                <w:b/>
                <w:szCs w:val="22"/>
              </w:rPr>
            </w:pPr>
            <w:r w:rsidRPr="00807DAF">
              <w:rPr>
                <w:b/>
                <w:szCs w:val="22"/>
              </w:rPr>
              <w:t>TIME</w:t>
            </w:r>
          </w:p>
        </w:tc>
      </w:tr>
      <w:tr w:rsidR="00B374BF" w:rsidRPr="00807DAF" w14:paraId="56687368" w14:textId="77777777" w:rsidTr="00092AB2">
        <w:tc>
          <w:tcPr>
            <w:tcW w:w="4678" w:type="dxa"/>
            <w:shd w:val="pct10" w:color="auto" w:fill="FFFFFF"/>
          </w:tcPr>
          <w:p w14:paraId="00CE6FA6" w14:textId="77777777" w:rsidR="00B374BF" w:rsidRPr="00807DAF" w:rsidRDefault="00B374BF" w:rsidP="00F36C74">
            <w:pPr>
              <w:spacing w:after="120" w:line="240" w:lineRule="atLeast"/>
              <w:ind w:left="318" w:hanging="318"/>
              <w:jc w:val="left"/>
              <w:rPr>
                <w:b/>
                <w:szCs w:val="22"/>
              </w:rPr>
            </w:pPr>
            <w:r>
              <w:rPr>
                <w:b/>
                <w:szCs w:val="22"/>
              </w:rPr>
              <w:t>1.</w:t>
            </w:r>
            <w:r>
              <w:rPr>
                <w:b/>
                <w:szCs w:val="22"/>
              </w:rPr>
              <w:tab/>
            </w:r>
            <w:r w:rsidRPr="00807DAF">
              <w:rPr>
                <w:b/>
                <w:szCs w:val="22"/>
              </w:rPr>
              <w:t>Information meeting (if any)</w:t>
            </w:r>
          </w:p>
        </w:tc>
        <w:tc>
          <w:tcPr>
            <w:tcW w:w="2552" w:type="dxa"/>
          </w:tcPr>
          <w:p w14:paraId="0A9DE6C9" w14:textId="77777777" w:rsidR="00B374BF" w:rsidRPr="00807DAF" w:rsidRDefault="00655AF6" w:rsidP="00655AF6">
            <w:pPr>
              <w:spacing w:after="120" w:line="240" w:lineRule="atLeast"/>
              <w:jc w:val="center"/>
              <w:rPr>
                <w:szCs w:val="22"/>
              </w:rPr>
            </w:pPr>
            <w:r>
              <w:rPr>
                <w:szCs w:val="22"/>
              </w:rPr>
              <w:t>9 December 2025</w:t>
            </w:r>
          </w:p>
        </w:tc>
        <w:tc>
          <w:tcPr>
            <w:tcW w:w="2551" w:type="dxa"/>
          </w:tcPr>
          <w:p w14:paraId="66AB5854" w14:textId="2069CDE0" w:rsidR="00B374BF" w:rsidRPr="00807DAF" w:rsidRDefault="00096733" w:rsidP="00655AF6">
            <w:pPr>
              <w:spacing w:after="120" w:line="240" w:lineRule="atLeast"/>
              <w:jc w:val="center"/>
              <w:rPr>
                <w:szCs w:val="22"/>
              </w:rPr>
            </w:pPr>
            <w:r>
              <w:rPr>
                <w:szCs w:val="22"/>
              </w:rPr>
              <w:t>10:30 Kyiv time</w:t>
            </w:r>
            <w:r w:rsidR="00B374BF">
              <w:rPr>
                <w:szCs w:val="22"/>
              </w:rPr>
              <w:t xml:space="preserve"> </w:t>
            </w:r>
          </w:p>
        </w:tc>
      </w:tr>
      <w:tr w:rsidR="00B374BF" w:rsidRPr="00807DAF" w14:paraId="01C06B69" w14:textId="77777777" w:rsidTr="00092AB2">
        <w:tc>
          <w:tcPr>
            <w:tcW w:w="4678" w:type="dxa"/>
            <w:shd w:val="pct10" w:color="auto" w:fill="FFFFFF"/>
          </w:tcPr>
          <w:p w14:paraId="002039B2" w14:textId="77777777" w:rsidR="00B374BF" w:rsidRPr="00807DAF" w:rsidRDefault="00B374BF" w:rsidP="00F36C74">
            <w:pPr>
              <w:spacing w:after="120" w:line="240" w:lineRule="atLeast"/>
              <w:ind w:left="318" w:hanging="284"/>
              <w:jc w:val="left"/>
              <w:rPr>
                <w:b/>
                <w:szCs w:val="22"/>
              </w:rPr>
            </w:pPr>
            <w:r>
              <w:rPr>
                <w:b/>
                <w:szCs w:val="22"/>
              </w:rPr>
              <w:t>2.</w:t>
            </w:r>
            <w:r>
              <w:rPr>
                <w:b/>
                <w:szCs w:val="22"/>
              </w:rPr>
              <w:tab/>
            </w:r>
            <w:r w:rsidRPr="00807DAF">
              <w:rPr>
                <w:b/>
                <w:szCs w:val="22"/>
              </w:rPr>
              <w:t xml:space="preserve">Deadline for requesting any clarifications from the </w:t>
            </w:r>
            <w:r>
              <w:rPr>
                <w:b/>
                <w:szCs w:val="22"/>
              </w:rPr>
              <w:t>c</w:t>
            </w:r>
            <w:r w:rsidRPr="00807DAF">
              <w:rPr>
                <w:b/>
                <w:szCs w:val="22"/>
              </w:rPr>
              <w:t xml:space="preserve">ontracting </w:t>
            </w:r>
            <w:r>
              <w:rPr>
                <w:b/>
                <w:szCs w:val="22"/>
              </w:rPr>
              <w:t>a</w:t>
            </w:r>
            <w:r w:rsidRPr="00807DAF">
              <w:rPr>
                <w:b/>
                <w:szCs w:val="22"/>
              </w:rPr>
              <w:t>uthority</w:t>
            </w:r>
          </w:p>
        </w:tc>
        <w:tc>
          <w:tcPr>
            <w:tcW w:w="2552" w:type="dxa"/>
          </w:tcPr>
          <w:p w14:paraId="6F521E21" w14:textId="6CF95F21" w:rsidR="00B374BF" w:rsidRPr="00807DAF" w:rsidRDefault="00C85A6C" w:rsidP="00F36C74">
            <w:pPr>
              <w:spacing w:after="120" w:line="240" w:lineRule="atLeast"/>
              <w:jc w:val="center"/>
              <w:rPr>
                <w:szCs w:val="22"/>
              </w:rPr>
            </w:pPr>
            <w:r>
              <w:rPr>
                <w:szCs w:val="22"/>
              </w:rPr>
              <w:t>8 January 2026</w:t>
            </w:r>
          </w:p>
        </w:tc>
        <w:tc>
          <w:tcPr>
            <w:tcW w:w="2551" w:type="dxa"/>
          </w:tcPr>
          <w:p w14:paraId="3C5AC83C" w14:textId="5FB844BD" w:rsidR="00B374BF" w:rsidRPr="00807DAF" w:rsidRDefault="00C85A6C" w:rsidP="00F36C74">
            <w:pPr>
              <w:spacing w:after="120" w:line="240" w:lineRule="atLeast"/>
              <w:jc w:val="center"/>
              <w:rPr>
                <w:szCs w:val="22"/>
              </w:rPr>
            </w:pPr>
            <w:r>
              <w:rPr>
                <w:szCs w:val="22"/>
              </w:rPr>
              <w:t>17:00 Kyiv time</w:t>
            </w:r>
          </w:p>
        </w:tc>
      </w:tr>
      <w:tr w:rsidR="00B374BF" w:rsidRPr="00807DAF" w14:paraId="15866A85" w14:textId="77777777" w:rsidTr="00092AB2">
        <w:tc>
          <w:tcPr>
            <w:tcW w:w="4678" w:type="dxa"/>
            <w:shd w:val="pct10" w:color="auto" w:fill="FFFFFF"/>
          </w:tcPr>
          <w:p w14:paraId="4DE544CE" w14:textId="77777777" w:rsidR="00B374BF" w:rsidRPr="00807DAF" w:rsidRDefault="00B374BF" w:rsidP="00F36C74">
            <w:pPr>
              <w:spacing w:after="120" w:line="240" w:lineRule="atLeast"/>
              <w:ind w:left="318" w:hanging="284"/>
              <w:jc w:val="left"/>
              <w:rPr>
                <w:b/>
                <w:szCs w:val="22"/>
              </w:rPr>
            </w:pPr>
            <w:r>
              <w:rPr>
                <w:b/>
                <w:szCs w:val="22"/>
              </w:rPr>
              <w:t>3.</w:t>
            </w:r>
            <w:r>
              <w:rPr>
                <w:b/>
                <w:szCs w:val="22"/>
              </w:rPr>
              <w:tab/>
            </w:r>
            <w:r w:rsidRPr="00807DAF">
              <w:rPr>
                <w:b/>
                <w:szCs w:val="22"/>
              </w:rPr>
              <w:t xml:space="preserve">Last date on which clarifications are issued by the </w:t>
            </w:r>
            <w:r>
              <w:rPr>
                <w:b/>
                <w:szCs w:val="22"/>
              </w:rPr>
              <w:t>c</w:t>
            </w:r>
            <w:r w:rsidRPr="00807DAF">
              <w:rPr>
                <w:b/>
                <w:szCs w:val="22"/>
              </w:rPr>
              <w:t xml:space="preserve">ontracting </w:t>
            </w:r>
            <w:r>
              <w:rPr>
                <w:b/>
                <w:szCs w:val="22"/>
              </w:rPr>
              <w:t>a</w:t>
            </w:r>
            <w:r w:rsidRPr="00807DAF">
              <w:rPr>
                <w:b/>
                <w:szCs w:val="22"/>
              </w:rPr>
              <w:t>uthority</w:t>
            </w:r>
          </w:p>
        </w:tc>
        <w:tc>
          <w:tcPr>
            <w:tcW w:w="2552" w:type="dxa"/>
          </w:tcPr>
          <w:p w14:paraId="6F8D6C60" w14:textId="0F7F0599" w:rsidR="00B374BF" w:rsidRPr="00807DAF" w:rsidRDefault="00C85A6C" w:rsidP="00F36C74">
            <w:pPr>
              <w:spacing w:after="120" w:line="240" w:lineRule="atLeast"/>
              <w:jc w:val="center"/>
              <w:rPr>
                <w:szCs w:val="22"/>
              </w:rPr>
            </w:pPr>
            <w:r>
              <w:rPr>
                <w:szCs w:val="22"/>
              </w:rPr>
              <w:t>16 January 2026</w:t>
            </w:r>
          </w:p>
        </w:tc>
        <w:tc>
          <w:tcPr>
            <w:tcW w:w="2551" w:type="dxa"/>
          </w:tcPr>
          <w:p w14:paraId="1F83920B" w14:textId="77777777" w:rsidR="00B374BF" w:rsidRPr="00807DAF" w:rsidRDefault="00B374BF" w:rsidP="00F36C74">
            <w:pPr>
              <w:spacing w:after="120" w:line="240" w:lineRule="atLeast"/>
              <w:jc w:val="center"/>
              <w:rPr>
                <w:szCs w:val="22"/>
              </w:rPr>
            </w:pPr>
            <w:r w:rsidRPr="00807DAF">
              <w:rPr>
                <w:szCs w:val="22"/>
              </w:rPr>
              <w:t>-</w:t>
            </w:r>
          </w:p>
        </w:tc>
      </w:tr>
      <w:tr w:rsidR="00B374BF" w:rsidRPr="00807DAF" w14:paraId="37C0482B" w14:textId="77777777" w:rsidTr="00092AB2">
        <w:tc>
          <w:tcPr>
            <w:tcW w:w="4678" w:type="dxa"/>
            <w:shd w:val="pct10" w:color="auto" w:fill="FFFFFF"/>
          </w:tcPr>
          <w:p w14:paraId="60B11E78" w14:textId="77777777" w:rsidR="00B374BF" w:rsidRPr="00807DAF" w:rsidRDefault="00B374BF" w:rsidP="00F36C74">
            <w:pPr>
              <w:spacing w:after="120" w:line="240" w:lineRule="atLeast"/>
              <w:ind w:left="318" w:hanging="284"/>
              <w:jc w:val="left"/>
              <w:rPr>
                <w:b/>
                <w:szCs w:val="22"/>
              </w:rPr>
            </w:pPr>
            <w:r>
              <w:rPr>
                <w:b/>
                <w:szCs w:val="22"/>
              </w:rPr>
              <w:t>4.</w:t>
            </w:r>
            <w:r>
              <w:rPr>
                <w:b/>
                <w:szCs w:val="22"/>
              </w:rPr>
              <w:tab/>
            </w:r>
            <w:r w:rsidRPr="00807DAF">
              <w:rPr>
                <w:b/>
                <w:szCs w:val="22"/>
              </w:rPr>
              <w:t xml:space="preserve">Deadline for submission of </w:t>
            </w:r>
            <w:r w:rsidRPr="00BA6979">
              <w:rPr>
                <w:b/>
                <w:szCs w:val="22"/>
              </w:rPr>
              <w:t>concept notes</w:t>
            </w:r>
            <w:r>
              <w:rPr>
                <w:b/>
                <w:szCs w:val="22"/>
              </w:rPr>
              <w:t xml:space="preserve"> </w:t>
            </w:r>
            <w:r w:rsidRPr="00807DAF">
              <w:rPr>
                <w:b/>
                <w:szCs w:val="22"/>
                <w:highlight w:val="yellow"/>
              </w:rPr>
              <w:t xml:space="preserve"> </w:t>
            </w:r>
          </w:p>
        </w:tc>
        <w:tc>
          <w:tcPr>
            <w:tcW w:w="2552" w:type="dxa"/>
          </w:tcPr>
          <w:p w14:paraId="05EADD9B" w14:textId="77777777" w:rsidR="00B374BF" w:rsidRPr="00807DAF" w:rsidRDefault="00655AF6" w:rsidP="00F36C74">
            <w:pPr>
              <w:spacing w:after="120" w:line="240" w:lineRule="atLeast"/>
              <w:jc w:val="center"/>
              <w:rPr>
                <w:szCs w:val="22"/>
              </w:rPr>
            </w:pPr>
            <w:r>
              <w:rPr>
                <w:szCs w:val="22"/>
              </w:rPr>
              <w:t>29 January 2026</w:t>
            </w:r>
          </w:p>
        </w:tc>
        <w:tc>
          <w:tcPr>
            <w:tcW w:w="2551" w:type="dxa"/>
          </w:tcPr>
          <w:p w14:paraId="1E442807" w14:textId="77777777" w:rsidR="00B374BF" w:rsidRPr="00807DAF" w:rsidRDefault="00655AF6" w:rsidP="00655AF6">
            <w:pPr>
              <w:spacing w:after="120" w:line="240" w:lineRule="atLeast"/>
              <w:jc w:val="center"/>
              <w:rPr>
                <w:szCs w:val="22"/>
              </w:rPr>
            </w:pPr>
            <w:r>
              <w:rPr>
                <w:szCs w:val="22"/>
              </w:rPr>
              <w:t>12:00 Brussels time</w:t>
            </w:r>
          </w:p>
        </w:tc>
      </w:tr>
      <w:tr w:rsidR="00B374BF" w:rsidRPr="00807DAF" w14:paraId="09AACC85" w14:textId="77777777" w:rsidTr="00655AF6">
        <w:tc>
          <w:tcPr>
            <w:tcW w:w="4678" w:type="dxa"/>
            <w:shd w:val="pct10" w:color="auto" w:fill="FFFFFF"/>
          </w:tcPr>
          <w:p w14:paraId="669D793A" w14:textId="77777777" w:rsidR="00B374BF" w:rsidRPr="00807DAF" w:rsidRDefault="00B374BF" w:rsidP="001B7D50">
            <w:pPr>
              <w:spacing w:after="120" w:line="240" w:lineRule="atLeast"/>
              <w:ind w:left="318" w:hanging="284"/>
              <w:rPr>
                <w:b/>
                <w:szCs w:val="22"/>
              </w:rPr>
            </w:pPr>
            <w:r>
              <w:rPr>
                <w:b/>
                <w:szCs w:val="22"/>
              </w:rPr>
              <w:t>5.</w:t>
            </w:r>
            <w:r>
              <w:rPr>
                <w:b/>
                <w:szCs w:val="22"/>
              </w:rPr>
              <w:tab/>
            </w:r>
            <w:r w:rsidRPr="00807DAF">
              <w:rPr>
                <w:b/>
                <w:szCs w:val="22"/>
              </w:rPr>
              <w:t xml:space="preserve">Information to </w:t>
            </w:r>
            <w:r>
              <w:rPr>
                <w:b/>
                <w:szCs w:val="22"/>
              </w:rPr>
              <w:t>lead a</w:t>
            </w:r>
            <w:r w:rsidRPr="00807DAF">
              <w:rPr>
                <w:b/>
                <w:szCs w:val="22"/>
              </w:rPr>
              <w:t xml:space="preserve">pplicants </w:t>
            </w:r>
            <w:proofErr w:type="gramStart"/>
            <w:r w:rsidRPr="00807DAF">
              <w:rPr>
                <w:b/>
                <w:szCs w:val="22"/>
              </w:rPr>
              <w:t>on  administrative</w:t>
            </w:r>
            <w:proofErr w:type="gramEnd"/>
            <w:r w:rsidRPr="00807DAF">
              <w:rPr>
                <w:b/>
                <w:szCs w:val="22"/>
              </w:rPr>
              <w:t xml:space="preserve"> checks and concept note evaluation (Step 1)</w:t>
            </w:r>
            <w:r w:rsidR="00061086">
              <w:rPr>
                <w:b/>
                <w:szCs w:val="22"/>
              </w:rPr>
              <w:t xml:space="preserve"> and i</w:t>
            </w:r>
            <w:r w:rsidR="00061086" w:rsidRPr="00BA6979">
              <w:rPr>
                <w:b/>
                <w:szCs w:val="22"/>
              </w:rPr>
              <w:t>nvitation to submit full applications</w:t>
            </w:r>
          </w:p>
        </w:tc>
        <w:tc>
          <w:tcPr>
            <w:tcW w:w="2552" w:type="dxa"/>
            <w:shd w:val="clear" w:color="auto" w:fill="auto"/>
          </w:tcPr>
          <w:p w14:paraId="42409D95" w14:textId="77777777" w:rsidR="00B374BF" w:rsidRPr="00807DAF" w:rsidRDefault="00655AF6" w:rsidP="00F36C74">
            <w:pPr>
              <w:spacing w:after="120" w:line="240" w:lineRule="atLeast"/>
              <w:jc w:val="center"/>
              <w:rPr>
                <w:szCs w:val="22"/>
              </w:rPr>
            </w:pPr>
            <w:r w:rsidRPr="00731E00">
              <w:rPr>
                <w:szCs w:val="22"/>
              </w:rPr>
              <w:t>2 March 2026</w:t>
            </w:r>
          </w:p>
        </w:tc>
        <w:tc>
          <w:tcPr>
            <w:tcW w:w="2551" w:type="dxa"/>
          </w:tcPr>
          <w:p w14:paraId="43EA2C1A" w14:textId="77777777" w:rsidR="00B374BF" w:rsidRPr="00807DAF" w:rsidRDefault="00B374BF" w:rsidP="00F36C74">
            <w:pPr>
              <w:spacing w:after="120" w:line="240" w:lineRule="atLeast"/>
              <w:jc w:val="center"/>
              <w:rPr>
                <w:szCs w:val="22"/>
              </w:rPr>
            </w:pPr>
            <w:r w:rsidRPr="00807DAF">
              <w:rPr>
                <w:szCs w:val="22"/>
              </w:rPr>
              <w:t>-</w:t>
            </w:r>
          </w:p>
        </w:tc>
      </w:tr>
      <w:tr w:rsidR="00B374BF" w:rsidRPr="00807DAF" w14:paraId="1035F30A" w14:textId="77777777" w:rsidTr="00DC2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2"/>
        </w:trPr>
        <w:tc>
          <w:tcPr>
            <w:tcW w:w="4678" w:type="dxa"/>
            <w:tcBorders>
              <w:left w:val="single" w:sz="4" w:space="0" w:color="auto"/>
              <w:right w:val="single" w:sz="4" w:space="0" w:color="auto"/>
            </w:tcBorders>
          </w:tcPr>
          <w:p w14:paraId="7874D371" w14:textId="77777777" w:rsidR="00B374BF" w:rsidRPr="00807DAF" w:rsidRDefault="00061086" w:rsidP="00F36C74">
            <w:pPr>
              <w:spacing w:after="120" w:line="240" w:lineRule="atLeast"/>
              <w:jc w:val="left"/>
              <w:rPr>
                <w:b/>
                <w:szCs w:val="22"/>
              </w:rPr>
            </w:pPr>
            <w:r>
              <w:rPr>
                <w:b/>
                <w:szCs w:val="22"/>
              </w:rPr>
              <w:lastRenderedPageBreak/>
              <w:t>6</w:t>
            </w:r>
            <w:r w:rsidR="00B374BF" w:rsidRPr="00BA6979">
              <w:rPr>
                <w:b/>
                <w:szCs w:val="22"/>
              </w:rPr>
              <w:t>. Deadline for submission of full applications</w:t>
            </w:r>
          </w:p>
        </w:tc>
        <w:tc>
          <w:tcPr>
            <w:tcW w:w="2552" w:type="dxa"/>
            <w:tcBorders>
              <w:left w:val="single" w:sz="4" w:space="0" w:color="auto"/>
              <w:right w:val="single" w:sz="4" w:space="0" w:color="auto"/>
            </w:tcBorders>
          </w:tcPr>
          <w:p w14:paraId="34E0A10B" w14:textId="1A336C17" w:rsidR="00B374BF" w:rsidRPr="00807DAF" w:rsidRDefault="008E56B1" w:rsidP="00F36C74">
            <w:pPr>
              <w:spacing w:after="120" w:line="240" w:lineRule="atLeast"/>
              <w:jc w:val="center"/>
              <w:rPr>
                <w:szCs w:val="22"/>
              </w:rPr>
            </w:pPr>
            <w:r>
              <w:rPr>
                <w:szCs w:val="22"/>
              </w:rPr>
              <w:t>11 June 2026</w:t>
            </w:r>
          </w:p>
        </w:tc>
        <w:tc>
          <w:tcPr>
            <w:tcW w:w="2551" w:type="dxa"/>
            <w:tcBorders>
              <w:left w:val="single" w:sz="4" w:space="0" w:color="auto"/>
              <w:right w:val="single" w:sz="4" w:space="0" w:color="auto"/>
            </w:tcBorders>
          </w:tcPr>
          <w:p w14:paraId="288EFABD" w14:textId="77777777" w:rsidR="00B374BF" w:rsidRPr="00807DAF" w:rsidRDefault="00B374BF" w:rsidP="00F36C74">
            <w:pPr>
              <w:spacing w:after="120" w:line="240" w:lineRule="atLeast"/>
              <w:jc w:val="center"/>
              <w:rPr>
                <w:szCs w:val="22"/>
              </w:rPr>
            </w:pPr>
            <w:r w:rsidRPr="00807DAF">
              <w:rPr>
                <w:szCs w:val="22"/>
              </w:rPr>
              <w:t>-</w:t>
            </w:r>
          </w:p>
        </w:tc>
      </w:tr>
      <w:tr w:rsidR="00B374BF" w:rsidRPr="00807DAF" w14:paraId="2FADE935" w14:textId="77777777" w:rsidTr="00092AB2">
        <w:tc>
          <w:tcPr>
            <w:tcW w:w="4678" w:type="dxa"/>
            <w:shd w:val="pct10" w:color="auto" w:fill="FFFFFF"/>
          </w:tcPr>
          <w:p w14:paraId="00B979F6" w14:textId="77777777" w:rsidR="00B374BF" w:rsidRPr="00807DAF" w:rsidRDefault="00C27B90" w:rsidP="00F36C74">
            <w:pPr>
              <w:spacing w:after="120" w:line="240" w:lineRule="atLeast"/>
              <w:ind w:left="318" w:hanging="284"/>
              <w:jc w:val="left"/>
              <w:rPr>
                <w:b/>
                <w:szCs w:val="22"/>
              </w:rPr>
            </w:pPr>
            <w:r>
              <w:rPr>
                <w:b/>
                <w:szCs w:val="22"/>
              </w:rPr>
              <w:t>7</w:t>
            </w:r>
            <w:r w:rsidR="00B374BF">
              <w:rPr>
                <w:b/>
                <w:szCs w:val="22"/>
              </w:rPr>
              <w:t>.</w:t>
            </w:r>
            <w:r w:rsidR="00B374BF">
              <w:rPr>
                <w:b/>
                <w:szCs w:val="22"/>
              </w:rPr>
              <w:tab/>
            </w:r>
            <w:r w:rsidR="00B374BF" w:rsidRPr="00807DAF">
              <w:rPr>
                <w:b/>
                <w:szCs w:val="22"/>
              </w:rPr>
              <w:t xml:space="preserve">Notification of </w:t>
            </w:r>
            <w:r w:rsidR="00806F79">
              <w:rPr>
                <w:b/>
                <w:szCs w:val="22"/>
              </w:rPr>
              <w:t>the contracting authority decision</w:t>
            </w:r>
          </w:p>
        </w:tc>
        <w:tc>
          <w:tcPr>
            <w:tcW w:w="2552" w:type="dxa"/>
          </w:tcPr>
          <w:p w14:paraId="6688961A" w14:textId="32EA59F0" w:rsidR="00B374BF" w:rsidRPr="00807DAF" w:rsidRDefault="001A08F6" w:rsidP="00F36C74">
            <w:pPr>
              <w:spacing w:after="120" w:line="240" w:lineRule="atLeast"/>
              <w:jc w:val="center"/>
              <w:rPr>
                <w:szCs w:val="22"/>
              </w:rPr>
            </w:pPr>
            <w:r>
              <w:rPr>
                <w:szCs w:val="22"/>
              </w:rPr>
              <w:t>July 2026</w:t>
            </w:r>
          </w:p>
        </w:tc>
        <w:tc>
          <w:tcPr>
            <w:tcW w:w="2551" w:type="dxa"/>
          </w:tcPr>
          <w:p w14:paraId="20F34515" w14:textId="77777777" w:rsidR="00B374BF" w:rsidRPr="00807DAF" w:rsidRDefault="00B374BF" w:rsidP="00F36C74">
            <w:pPr>
              <w:spacing w:after="120" w:line="240" w:lineRule="atLeast"/>
              <w:jc w:val="center"/>
              <w:rPr>
                <w:szCs w:val="22"/>
              </w:rPr>
            </w:pPr>
            <w:r w:rsidRPr="00807DAF">
              <w:rPr>
                <w:szCs w:val="22"/>
              </w:rPr>
              <w:t>-</w:t>
            </w:r>
          </w:p>
        </w:tc>
      </w:tr>
      <w:tr w:rsidR="00B374BF" w:rsidRPr="00807DAF" w14:paraId="0FD73351" w14:textId="77777777" w:rsidTr="00092AB2">
        <w:tc>
          <w:tcPr>
            <w:tcW w:w="4678" w:type="dxa"/>
            <w:shd w:val="pct10" w:color="auto" w:fill="FFFFFF"/>
          </w:tcPr>
          <w:p w14:paraId="3DD86108" w14:textId="77777777" w:rsidR="00B374BF" w:rsidRPr="00807DAF" w:rsidRDefault="00C27B90" w:rsidP="00F36C74">
            <w:pPr>
              <w:spacing w:after="120" w:line="240" w:lineRule="atLeast"/>
              <w:ind w:left="318" w:hanging="284"/>
              <w:jc w:val="left"/>
              <w:rPr>
                <w:b/>
                <w:szCs w:val="22"/>
              </w:rPr>
            </w:pPr>
            <w:r>
              <w:rPr>
                <w:b/>
                <w:szCs w:val="22"/>
              </w:rPr>
              <w:t>8</w:t>
            </w:r>
            <w:r w:rsidR="00B374BF">
              <w:rPr>
                <w:b/>
                <w:szCs w:val="22"/>
              </w:rPr>
              <w:t xml:space="preserve">. </w:t>
            </w:r>
            <w:r w:rsidR="00B374BF" w:rsidRPr="00807DAF">
              <w:rPr>
                <w:b/>
                <w:szCs w:val="22"/>
              </w:rPr>
              <w:t>Contract signature</w:t>
            </w:r>
          </w:p>
        </w:tc>
        <w:tc>
          <w:tcPr>
            <w:tcW w:w="2552" w:type="dxa"/>
          </w:tcPr>
          <w:p w14:paraId="310F5463" w14:textId="6234744F" w:rsidR="00B374BF" w:rsidRPr="00807DAF" w:rsidRDefault="001A08F6" w:rsidP="00F36C74">
            <w:pPr>
              <w:spacing w:after="120" w:line="240" w:lineRule="atLeast"/>
              <w:jc w:val="center"/>
              <w:rPr>
                <w:szCs w:val="22"/>
              </w:rPr>
            </w:pPr>
            <w:r>
              <w:rPr>
                <w:szCs w:val="22"/>
              </w:rPr>
              <w:t>August 2026</w:t>
            </w:r>
          </w:p>
        </w:tc>
        <w:tc>
          <w:tcPr>
            <w:tcW w:w="2551" w:type="dxa"/>
          </w:tcPr>
          <w:p w14:paraId="342523B2" w14:textId="77777777" w:rsidR="00B374BF" w:rsidRPr="00807DAF" w:rsidRDefault="00B374BF" w:rsidP="00F36C74">
            <w:pPr>
              <w:spacing w:after="120" w:line="240" w:lineRule="atLeast"/>
              <w:jc w:val="center"/>
              <w:rPr>
                <w:szCs w:val="22"/>
              </w:rPr>
            </w:pPr>
            <w:r w:rsidRPr="00807DAF">
              <w:rPr>
                <w:szCs w:val="22"/>
              </w:rPr>
              <w:t>-</w:t>
            </w:r>
          </w:p>
        </w:tc>
      </w:tr>
    </w:tbl>
    <w:p w14:paraId="0112D308" w14:textId="19C964E9" w:rsidR="00B374BF" w:rsidRPr="00EC27B0" w:rsidRDefault="00B374BF" w:rsidP="00F36C74">
      <w:pPr>
        <w:spacing w:after="120" w:line="240" w:lineRule="atLeast"/>
        <w:rPr>
          <w:color w:val="0000FF"/>
          <w:szCs w:val="22"/>
          <w:u w:val="single"/>
        </w:rPr>
      </w:pPr>
      <w:r w:rsidRPr="00807DAF">
        <w:t xml:space="preserve">This indicative timetable </w:t>
      </w:r>
      <w:r>
        <w:t xml:space="preserve">refers to provisional dates (except for dates 2, 3, and 4) </w:t>
      </w:r>
      <w:r w:rsidRPr="00951BF6">
        <w:rPr>
          <w:szCs w:val="22"/>
        </w:rPr>
        <w:t xml:space="preserve">and </w:t>
      </w:r>
      <w:r w:rsidRPr="00807DAF">
        <w:t xml:space="preserve">may be updated by the </w:t>
      </w:r>
      <w:r>
        <w:t>c</w:t>
      </w:r>
      <w:r w:rsidRPr="00807DAF">
        <w:t xml:space="preserve">ontracting </w:t>
      </w:r>
      <w:r>
        <w:t>a</w:t>
      </w:r>
      <w:r w:rsidRPr="00807DAF">
        <w:t>uthority during the procedure. In such cases, the updated timetable will be published on the web site</w:t>
      </w:r>
      <w:r>
        <w:t xml:space="preserve"> </w:t>
      </w:r>
      <w:r>
        <w:rPr>
          <w:szCs w:val="22"/>
        </w:rPr>
        <w:t>where the call was published: website</w:t>
      </w:r>
      <w:r>
        <w:t xml:space="preserve"> of DG International Partnerships</w:t>
      </w:r>
      <w:r w:rsidRPr="00807DAF">
        <w:tab/>
        <w:t xml:space="preserve"> </w:t>
      </w:r>
      <w:hyperlink r:id="rId35" w:history="1">
        <w:r w:rsidRPr="009C76F9">
          <w:rPr>
            <w:rStyle w:val="Hyperlink"/>
            <w:szCs w:val="22"/>
          </w:rPr>
          <w:t>https://ec.europa.eu/international-partnerships/home_fr</w:t>
        </w:r>
      </w:hyperlink>
      <w:r w:rsidRPr="00232301">
        <w:rPr>
          <w:rStyle w:val="Hyperlink"/>
          <w:szCs w:val="22"/>
          <w:u w:val="none"/>
        </w:rPr>
        <w:t xml:space="preserve"> </w:t>
      </w:r>
      <w:r w:rsidR="00CF3B99">
        <w:rPr>
          <w:rStyle w:val="Hyperlink"/>
          <w:szCs w:val="22"/>
          <w:u w:val="none"/>
        </w:rPr>
        <w:t>and/</w:t>
      </w:r>
      <w:r w:rsidRPr="00F1518C">
        <w:t xml:space="preserve">or </w:t>
      </w:r>
      <w:r>
        <w:t>Funding &amp; T</w:t>
      </w:r>
      <w:r w:rsidRPr="00F1518C">
        <w:t>ender opportunities (</w:t>
      </w:r>
      <w:proofErr w:type="spellStart"/>
      <w:r w:rsidRPr="00F1518C">
        <w:t>F&amp;T</w:t>
      </w:r>
      <w:proofErr w:type="spellEnd"/>
      <w:r w:rsidRPr="00F1518C">
        <w:t xml:space="preserve"> Portal) </w:t>
      </w:r>
      <w:hyperlink r:id="rId36" w:history="1">
        <w:r w:rsidRPr="007578F4">
          <w:rPr>
            <w:rStyle w:val="Hyperlink"/>
          </w:rPr>
          <w:t>https://ec.europa.eu/info/funding-tenders/opportunities/portal/screen/home</w:t>
        </w:r>
      </w:hyperlink>
    </w:p>
    <w:p w14:paraId="4A369B8B" w14:textId="77777777" w:rsidR="00B374BF" w:rsidRDefault="00B374BF" w:rsidP="00F61F60">
      <w:pPr>
        <w:pStyle w:val="Guidelines2"/>
        <w:numPr>
          <w:ilvl w:val="1"/>
          <w:numId w:val="6"/>
        </w:numPr>
      </w:pPr>
      <w:bookmarkStart w:id="102" w:name="_Toc185257694"/>
      <w:r w:rsidRPr="00D54FCF">
        <w:t>Early detection and exclusion system</w:t>
      </w:r>
      <w:bookmarkEnd w:id="102"/>
    </w:p>
    <w:p w14:paraId="2BFA01D5" w14:textId="77777777" w:rsidR="00B374BF" w:rsidRPr="00956082" w:rsidRDefault="00B374BF" w:rsidP="00F36C74">
      <w:pPr>
        <w:spacing w:after="120" w:line="240" w:lineRule="atLeast"/>
        <w:rPr>
          <w:szCs w:val="22"/>
        </w:rPr>
      </w:pPr>
      <w:bookmarkStart w:id="103" w:name="_Hlk163810974"/>
      <w:r>
        <w:rPr>
          <w:szCs w:val="22"/>
        </w:rPr>
        <w:t>Applicants</w:t>
      </w:r>
      <w:r w:rsidRPr="00D54FCF">
        <w:rPr>
          <w:szCs w:val="22"/>
        </w:rPr>
        <w:t xml:space="preserve"> and, if they are legal entities, persons who have powers of representation, decision-making or control over them, </w:t>
      </w:r>
      <w:bookmarkStart w:id="104" w:name="_Hlk163231716"/>
      <w:r w:rsidRPr="00F661DF">
        <w:rPr>
          <w:szCs w:val="22"/>
        </w:rPr>
        <w:t xml:space="preserve">natural or legal person that assumes unlimited liability for the debts, natural or legal person who is essential for the award or for the implementation of the legal commitment, beneficial owner or any affiliate of the </w:t>
      </w:r>
      <w:r>
        <w:rPr>
          <w:szCs w:val="22"/>
        </w:rPr>
        <w:t>applicant,</w:t>
      </w:r>
      <w:r w:rsidRPr="00F661DF">
        <w:rPr>
          <w:szCs w:val="22"/>
        </w:rPr>
        <w:t xml:space="preserve"> </w:t>
      </w:r>
      <w:bookmarkEnd w:id="104"/>
      <w:r w:rsidRPr="00D54FCF">
        <w:rPr>
          <w:szCs w:val="22"/>
        </w:rPr>
        <w:t>are informed that, should they be in one of the situations of early detection or exclusion, their personal details (name, given name if natural person, address, legal form</w:t>
      </w:r>
      <w:r>
        <w:rPr>
          <w:szCs w:val="22"/>
        </w:rPr>
        <w:t>)</w:t>
      </w:r>
      <w:r w:rsidRPr="00D54FCF">
        <w:rPr>
          <w:szCs w:val="22"/>
        </w:rPr>
        <w:t xml:space="preserve"> may be registered in the early detection and exclusion system, and communicated to the persons and entities concerned in relation to the award or the execution of a </w:t>
      </w:r>
      <w:r>
        <w:rPr>
          <w:szCs w:val="22"/>
        </w:rPr>
        <w:t>grant</w:t>
      </w:r>
      <w:r w:rsidRPr="00D54FCF">
        <w:rPr>
          <w:szCs w:val="22"/>
        </w:rPr>
        <w:t xml:space="preserve"> contract.</w:t>
      </w:r>
    </w:p>
    <w:p w14:paraId="3125219F" w14:textId="77777777" w:rsidR="00B374BF" w:rsidRPr="00907182" w:rsidRDefault="00B374BF" w:rsidP="00F36C7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Lines="120" w:before="288" w:afterLines="60" w:after="144" w:line="240" w:lineRule="atLeast"/>
        <w:rPr>
          <w:szCs w:val="22"/>
        </w:rPr>
      </w:pPr>
      <w:bookmarkStart w:id="105" w:name="_Hlk163231805"/>
      <w:r w:rsidRPr="00907182">
        <w:rPr>
          <w:szCs w:val="22"/>
        </w:rPr>
        <w:t>For more information, you may consult the privacy statement available on</w:t>
      </w:r>
      <w:r w:rsidRPr="00907182">
        <w:rPr>
          <w:color w:val="2B579A"/>
          <w:szCs w:val="22"/>
          <w:shd w:val="clear" w:color="auto" w:fill="E6E6E6"/>
        </w:rPr>
        <w:t xml:space="preserve"> </w:t>
      </w:r>
      <w:hyperlink r:id="rId37" w:history="1">
        <w:r w:rsidRPr="00907182">
          <w:rPr>
            <w:color w:val="0000FF"/>
            <w:szCs w:val="22"/>
            <w:u w:val="single"/>
          </w:rPr>
          <w:t>http://ec.europa.eu/budget/explained/management/protecting/protect_en.cfm</w:t>
        </w:r>
      </w:hyperlink>
      <w:r w:rsidRPr="00907182">
        <w:rPr>
          <w:color w:val="2B579A"/>
          <w:szCs w:val="22"/>
          <w:shd w:val="clear" w:color="auto" w:fill="E6E6E6"/>
        </w:rPr>
        <w:t xml:space="preserve"> </w:t>
      </w:r>
    </w:p>
    <w:p w14:paraId="7887910C" w14:textId="77777777" w:rsidR="0007408E" w:rsidRPr="00807DAF" w:rsidRDefault="0007408E" w:rsidP="00F61F60">
      <w:pPr>
        <w:pStyle w:val="Guidelines1"/>
        <w:numPr>
          <w:ilvl w:val="0"/>
          <w:numId w:val="6"/>
        </w:numPr>
      </w:pPr>
      <w:bookmarkStart w:id="106" w:name="_Toc40507656"/>
      <w:bookmarkStart w:id="107" w:name="_Toc185257695"/>
      <w:bookmarkEnd w:id="103"/>
      <w:bookmarkEnd w:id="105"/>
      <w:r w:rsidRPr="00807DAF">
        <w:t>annexes</w:t>
      </w:r>
      <w:bookmarkEnd w:id="106"/>
      <w:bookmarkEnd w:id="107"/>
    </w:p>
    <w:p w14:paraId="03D473B9" w14:textId="77777777" w:rsidR="00112E4F" w:rsidRPr="00807DAF" w:rsidRDefault="00112E4F" w:rsidP="00F36C74">
      <w:pPr>
        <w:spacing w:after="120" w:line="240" w:lineRule="atLeast"/>
        <w:rPr>
          <w:b/>
          <w:smallCaps/>
        </w:rPr>
      </w:pPr>
      <w:bookmarkStart w:id="108" w:name="_Toc40507657"/>
      <w:r w:rsidRPr="00807DAF">
        <w:rPr>
          <w:b/>
          <w:smallCaps/>
        </w:rPr>
        <w:t>D</w:t>
      </w:r>
      <w:r w:rsidR="00600738" w:rsidRPr="00807DAF">
        <w:rPr>
          <w:b/>
          <w:smallCaps/>
        </w:rPr>
        <w:t>ocuments to</w:t>
      </w:r>
      <w:r w:rsidRPr="00807DAF">
        <w:rPr>
          <w:b/>
          <w:smallCaps/>
        </w:rPr>
        <w:t xml:space="preserve"> </w:t>
      </w:r>
      <w:r w:rsidR="00E708CB" w:rsidRPr="00807DAF">
        <w:rPr>
          <w:b/>
          <w:smallCaps/>
        </w:rPr>
        <w:t>be completed</w:t>
      </w:r>
    </w:p>
    <w:tbl>
      <w:tblPr>
        <w:tblW w:w="0" w:type="auto"/>
        <w:tblInd w:w="108" w:type="dxa"/>
        <w:tblLook w:val="04A0" w:firstRow="1" w:lastRow="0" w:firstColumn="1" w:lastColumn="0" w:noHBand="0" w:noVBand="1"/>
      </w:tblPr>
      <w:tblGrid>
        <w:gridCol w:w="1818"/>
        <w:gridCol w:w="7712"/>
      </w:tblGrid>
      <w:tr w:rsidR="00B374BF" w14:paraId="4702157D" w14:textId="77777777" w:rsidTr="00DA409F">
        <w:tc>
          <w:tcPr>
            <w:tcW w:w="1843" w:type="dxa"/>
          </w:tcPr>
          <w:p w14:paraId="08682527" w14:textId="77777777" w:rsidR="00B374BF" w:rsidRDefault="00B374BF" w:rsidP="00DA409F">
            <w:pPr>
              <w:spacing w:after="120" w:line="240" w:lineRule="atLeast"/>
            </w:pPr>
            <w:bookmarkStart w:id="109" w:name="_Hlk163811012"/>
            <w:r w:rsidRPr="00807DAF">
              <w:t>Annex A</w:t>
            </w:r>
          </w:p>
        </w:tc>
        <w:tc>
          <w:tcPr>
            <w:tcW w:w="7903" w:type="dxa"/>
          </w:tcPr>
          <w:p w14:paraId="1E65EB56" w14:textId="77777777" w:rsidR="00B374BF" w:rsidRDefault="00B374BF" w:rsidP="00DA409F">
            <w:pPr>
              <w:spacing w:after="120" w:line="240" w:lineRule="atLeast"/>
            </w:pPr>
            <w:r w:rsidRPr="00807DAF">
              <w:t xml:space="preserve">Grant </w:t>
            </w:r>
            <w:r>
              <w:t>a</w:t>
            </w:r>
            <w:r w:rsidRPr="00807DAF">
              <w:t xml:space="preserve">pplication </w:t>
            </w:r>
            <w:r>
              <w:t>f</w:t>
            </w:r>
            <w:r w:rsidRPr="00807DAF">
              <w:t>orm (Word format)</w:t>
            </w:r>
          </w:p>
        </w:tc>
      </w:tr>
      <w:tr w:rsidR="00B374BF" w14:paraId="5E3B9E2A" w14:textId="77777777" w:rsidTr="00DA409F">
        <w:tc>
          <w:tcPr>
            <w:tcW w:w="1843" w:type="dxa"/>
          </w:tcPr>
          <w:p w14:paraId="35FF2EAF" w14:textId="77777777" w:rsidR="00B374BF" w:rsidRDefault="00B374BF" w:rsidP="00DA409F">
            <w:pPr>
              <w:spacing w:after="120" w:line="240" w:lineRule="atLeast"/>
              <w:ind w:left="171"/>
            </w:pPr>
            <w:r>
              <w:t>A.1</w:t>
            </w:r>
          </w:p>
        </w:tc>
        <w:tc>
          <w:tcPr>
            <w:tcW w:w="7903" w:type="dxa"/>
          </w:tcPr>
          <w:p w14:paraId="19AEB3FD" w14:textId="77777777" w:rsidR="00B374BF" w:rsidRDefault="00B374BF" w:rsidP="00DA409F">
            <w:pPr>
              <w:spacing w:after="120" w:line="240" w:lineRule="atLeast"/>
            </w:pPr>
            <w:r>
              <w:t>Concept note</w:t>
            </w:r>
          </w:p>
        </w:tc>
      </w:tr>
      <w:tr w:rsidR="00B374BF" w14:paraId="559FC8B4" w14:textId="77777777" w:rsidTr="00DA409F">
        <w:tc>
          <w:tcPr>
            <w:tcW w:w="1843" w:type="dxa"/>
          </w:tcPr>
          <w:p w14:paraId="302FA65F" w14:textId="77777777" w:rsidR="00B374BF" w:rsidRDefault="00B374BF" w:rsidP="00DA409F">
            <w:pPr>
              <w:spacing w:after="120" w:line="240" w:lineRule="atLeast"/>
              <w:ind w:left="171"/>
            </w:pPr>
            <w:r>
              <w:t>A.2</w:t>
            </w:r>
          </w:p>
        </w:tc>
        <w:tc>
          <w:tcPr>
            <w:tcW w:w="7903" w:type="dxa"/>
          </w:tcPr>
          <w:p w14:paraId="2F0E60AE" w14:textId="77777777" w:rsidR="00B374BF" w:rsidRDefault="00B374BF" w:rsidP="00DA409F">
            <w:pPr>
              <w:spacing w:after="120" w:line="240" w:lineRule="atLeast"/>
            </w:pPr>
            <w:r>
              <w:t>Full application form</w:t>
            </w:r>
          </w:p>
        </w:tc>
      </w:tr>
      <w:tr w:rsidR="00B374BF" w14:paraId="38EB392B" w14:textId="77777777" w:rsidTr="00DA409F">
        <w:tc>
          <w:tcPr>
            <w:tcW w:w="1843" w:type="dxa"/>
          </w:tcPr>
          <w:p w14:paraId="6DE384E5" w14:textId="77777777" w:rsidR="00B374BF" w:rsidRDefault="00B374BF" w:rsidP="00DA409F">
            <w:pPr>
              <w:spacing w:after="120" w:line="240" w:lineRule="atLeast"/>
              <w:ind w:firstLine="174"/>
            </w:pPr>
            <w:r w:rsidRPr="00807DAF">
              <w:t>Annex B</w:t>
            </w:r>
          </w:p>
        </w:tc>
        <w:tc>
          <w:tcPr>
            <w:tcW w:w="7903" w:type="dxa"/>
          </w:tcPr>
          <w:p w14:paraId="4C6E276C" w14:textId="77777777" w:rsidR="00B374BF" w:rsidRDefault="00B374BF" w:rsidP="00DA409F">
            <w:pPr>
              <w:spacing w:after="120" w:line="240" w:lineRule="atLeast"/>
            </w:pPr>
            <w:r w:rsidRPr="00807DAF">
              <w:t>Budget (Excel format)</w:t>
            </w:r>
          </w:p>
        </w:tc>
      </w:tr>
      <w:tr w:rsidR="00B374BF" w14:paraId="636265C2" w14:textId="77777777" w:rsidTr="00DA409F">
        <w:tc>
          <w:tcPr>
            <w:tcW w:w="1843" w:type="dxa"/>
          </w:tcPr>
          <w:p w14:paraId="32FD05C8" w14:textId="77777777" w:rsidR="00B374BF" w:rsidRDefault="00B374BF" w:rsidP="00DA409F">
            <w:pPr>
              <w:spacing w:after="120" w:line="240" w:lineRule="atLeast"/>
              <w:ind w:firstLine="174"/>
            </w:pPr>
            <w:r w:rsidRPr="00F53E16">
              <w:t>Annex C</w:t>
            </w:r>
          </w:p>
        </w:tc>
        <w:tc>
          <w:tcPr>
            <w:tcW w:w="7903" w:type="dxa"/>
          </w:tcPr>
          <w:p w14:paraId="2FD3975C" w14:textId="77777777" w:rsidR="00B374BF" w:rsidRDefault="00B374BF" w:rsidP="00DA409F">
            <w:pPr>
              <w:spacing w:after="120" w:line="240" w:lineRule="atLeast"/>
            </w:pPr>
            <w:r w:rsidRPr="00F53E16">
              <w:t xml:space="preserve">Logical </w:t>
            </w:r>
            <w:r>
              <w:t>f</w:t>
            </w:r>
            <w:r w:rsidRPr="00F53E16">
              <w:t>ramework (Excel format)</w:t>
            </w:r>
          </w:p>
        </w:tc>
      </w:tr>
      <w:tr w:rsidR="00B374BF" w14:paraId="387C989B" w14:textId="77777777" w:rsidTr="00DA409F">
        <w:tc>
          <w:tcPr>
            <w:tcW w:w="1843" w:type="dxa"/>
          </w:tcPr>
          <w:p w14:paraId="50E6AC4D" w14:textId="77777777" w:rsidR="00B374BF" w:rsidRDefault="00B374BF" w:rsidP="00DA409F">
            <w:pPr>
              <w:spacing w:after="120" w:line="240" w:lineRule="atLeast"/>
              <w:ind w:firstLine="174"/>
            </w:pPr>
            <w:r w:rsidRPr="00BA6979">
              <w:t>Annex D</w:t>
            </w:r>
          </w:p>
        </w:tc>
        <w:tc>
          <w:tcPr>
            <w:tcW w:w="7903" w:type="dxa"/>
          </w:tcPr>
          <w:p w14:paraId="3C6CE43C" w14:textId="2FF53389" w:rsidR="00B374BF" w:rsidRDefault="00190A5D" w:rsidP="00DA409F">
            <w:pPr>
              <w:spacing w:after="120" w:line="240" w:lineRule="atLeast"/>
            </w:pPr>
            <w:r>
              <w:t>Identification form</w:t>
            </w:r>
          </w:p>
        </w:tc>
      </w:tr>
      <w:tr w:rsidR="00B374BF" w14:paraId="2C555A48" w14:textId="77777777" w:rsidTr="00DA409F">
        <w:tc>
          <w:tcPr>
            <w:tcW w:w="1843" w:type="dxa"/>
          </w:tcPr>
          <w:p w14:paraId="1EF73EBD" w14:textId="77777777" w:rsidR="00B374BF" w:rsidRDefault="00B374BF" w:rsidP="00DA409F">
            <w:pPr>
              <w:spacing w:after="120" w:line="240" w:lineRule="atLeast"/>
              <w:ind w:firstLine="174"/>
            </w:pPr>
            <w:r w:rsidRPr="00BA6979">
              <w:t>Annex E</w:t>
            </w:r>
          </w:p>
        </w:tc>
        <w:tc>
          <w:tcPr>
            <w:tcW w:w="7903" w:type="dxa"/>
          </w:tcPr>
          <w:p w14:paraId="0E2E96A1" w14:textId="77777777" w:rsidR="00B374BF" w:rsidRDefault="00BD0B78" w:rsidP="00DA409F">
            <w:pPr>
              <w:spacing w:after="120" w:line="240" w:lineRule="atLeast"/>
            </w:pPr>
            <w:r>
              <w:t>[Not applicable]</w:t>
            </w:r>
          </w:p>
        </w:tc>
      </w:tr>
      <w:tr w:rsidR="00B374BF" w14:paraId="6C8C93EE" w14:textId="77777777" w:rsidTr="00DA409F">
        <w:tc>
          <w:tcPr>
            <w:tcW w:w="1843" w:type="dxa"/>
          </w:tcPr>
          <w:p w14:paraId="6175540C" w14:textId="77777777" w:rsidR="00B374BF" w:rsidRDefault="00B374BF" w:rsidP="00DA409F">
            <w:pPr>
              <w:spacing w:after="120" w:line="240" w:lineRule="atLeast"/>
              <w:ind w:firstLine="174"/>
            </w:pPr>
            <w:r>
              <w:t>Annex F</w:t>
            </w:r>
          </w:p>
        </w:tc>
        <w:tc>
          <w:tcPr>
            <w:tcW w:w="7903" w:type="dxa"/>
          </w:tcPr>
          <w:p w14:paraId="6D262CAB" w14:textId="7028C217" w:rsidR="00B374BF" w:rsidRDefault="00B374BF" w:rsidP="00DA409F">
            <w:pPr>
              <w:spacing w:after="120" w:line="240" w:lineRule="atLeast"/>
            </w:pPr>
            <w:proofErr w:type="spellStart"/>
            <w:r>
              <w:t>PADOR</w:t>
            </w:r>
            <w:proofErr w:type="spellEnd"/>
            <w:r>
              <w:t xml:space="preserve"> </w:t>
            </w:r>
            <w:r w:rsidRPr="001F4A09">
              <w:t>registration form</w:t>
            </w:r>
            <w:r w:rsidR="009027BD">
              <w:t xml:space="preserve"> (Please note that online submission via </w:t>
            </w:r>
            <w:r w:rsidR="009027BD" w:rsidRPr="00743599">
              <w:rPr>
                <w:b/>
              </w:rPr>
              <w:t>PROSPECT is obligatory</w:t>
            </w:r>
            <w:r w:rsidR="009027BD">
              <w:t xml:space="preserve"> for this call. – Article 2.2.II)</w:t>
            </w:r>
          </w:p>
        </w:tc>
      </w:tr>
      <w:tr w:rsidR="00B374BF" w14:paraId="085C5447" w14:textId="77777777" w:rsidTr="00DA409F">
        <w:tc>
          <w:tcPr>
            <w:tcW w:w="1843" w:type="dxa"/>
          </w:tcPr>
          <w:p w14:paraId="6813FC62" w14:textId="77777777" w:rsidR="00B374BF" w:rsidRDefault="00B374BF" w:rsidP="00DA409F">
            <w:pPr>
              <w:spacing w:after="120" w:line="240" w:lineRule="atLeast"/>
              <w:ind w:firstLine="174"/>
            </w:pPr>
            <w:r w:rsidRPr="00DA409F">
              <w:rPr>
                <w:szCs w:val="22"/>
              </w:rPr>
              <w:t>Annex H</w:t>
            </w:r>
          </w:p>
        </w:tc>
        <w:tc>
          <w:tcPr>
            <w:tcW w:w="7903" w:type="dxa"/>
          </w:tcPr>
          <w:p w14:paraId="61C61D3B" w14:textId="77777777" w:rsidR="00B374BF" w:rsidRDefault="00B374BF" w:rsidP="00DA409F">
            <w:pPr>
              <w:spacing w:after="120" w:line="240" w:lineRule="atLeast"/>
            </w:pPr>
            <w:r w:rsidRPr="00DA409F">
              <w:rPr>
                <w:szCs w:val="22"/>
              </w:rPr>
              <w:t>Declaration on Honour</w:t>
            </w:r>
            <w:r w:rsidR="00722200" w:rsidRPr="00DA409F">
              <w:rPr>
                <w:szCs w:val="22"/>
              </w:rPr>
              <w:t xml:space="preserve"> on exclusion criteria</w:t>
            </w:r>
          </w:p>
        </w:tc>
      </w:tr>
      <w:tr w:rsidR="001D7ABB" w:rsidRPr="008B2269" w14:paraId="55A3C554" w14:textId="77777777" w:rsidTr="00DA409F">
        <w:tc>
          <w:tcPr>
            <w:tcW w:w="1843" w:type="dxa"/>
          </w:tcPr>
          <w:p w14:paraId="5919D439" w14:textId="77777777" w:rsidR="001D7ABB" w:rsidRPr="00DA409F" w:rsidRDefault="001D7ABB" w:rsidP="00DA409F">
            <w:pPr>
              <w:spacing w:after="120" w:line="240" w:lineRule="atLeast"/>
              <w:ind w:firstLine="174"/>
              <w:rPr>
                <w:szCs w:val="22"/>
              </w:rPr>
            </w:pPr>
            <w:r w:rsidRPr="00DA409F">
              <w:rPr>
                <w:szCs w:val="22"/>
                <w:lang w:val="fr-BE"/>
              </w:rPr>
              <w:t>Annex L</w:t>
            </w:r>
          </w:p>
        </w:tc>
        <w:tc>
          <w:tcPr>
            <w:tcW w:w="7903" w:type="dxa"/>
          </w:tcPr>
          <w:p w14:paraId="4EEF83E5" w14:textId="77777777" w:rsidR="001D7ABB" w:rsidRPr="00DA409F" w:rsidRDefault="001D7ABB" w:rsidP="00DA409F">
            <w:pPr>
              <w:spacing w:after="120" w:line="240" w:lineRule="atLeast"/>
              <w:rPr>
                <w:szCs w:val="22"/>
                <w:lang w:val="fr-FR"/>
              </w:rPr>
            </w:pPr>
            <w:r w:rsidRPr="00DA409F">
              <w:rPr>
                <w:szCs w:val="22"/>
                <w:lang w:val="fr-BE"/>
              </w:rPr>
              <w:t>Self-</w:t>
            </w:r>
            <w:proofErr w:type="spellStart"/>
            <w:r w:rsidRPr="00DA409F">
              <w:rPr>
                <w:szCs w:val="22"/>
                <w:lang w:val="fr-BE"/>
              </w:rPr>
              <w:t>evaluation</w:t>
            </w:r>
            <w:proofErr w:type="spellEnd"/>
            <w:r w:rsidRPr="00DA409F">
              <w:rPr>
                <w:szCs w:val="22"/>
                <w:lang w:val="fr-BE"/>
              </w:rPr>
              <w:t xml:space="preserve"> questionnaire on </w:t>
            </w:r>
            <w:proofErr w:type="spellStart"/>
            <w:r w:rsidRPr="00DA409F">
              <w:rPr>
                <w:szCs w:val="22"/>
                <w:lang w:val="fr-BE"/>
              </w:rPr>
              <w:t>SEA</w:t>
            </w:r>
            <w:proofErr w:type="spellEnd"/>
            <w:r w:rsidRPr="00DA409F">
              <w:rPr>
                <w:szCs w:val="22"/>
                <w:lang w:val="fr-BE"/>
              </w:rPr>
              <w:t>-H</w:t>
            </w:r>
          </w:p>
        </w:tc>
      </w:tr>
    </w:tbl>
    <w:p w14:paraId="06D5F8E4" w14:textId="77777777" w:rsidR="00112E4F" w:rsidRPr="001D7ABB" w:rsidRDefault="00112E4F" w:rsidP="00F36C74">
      <w:pPr>
        <w:spacing w:after="120" w:line="240" w:lineRule="atLeast"/>
        <w:rPr>
          <w:b/>
          <w:smallCaps/>
          <w:szCs w:val="22"/>
        </w:rPr>
      </w:pPr>
      <w:bookmarkStart w:id="110" w:name="_Toc40507661"/>
      <w:bookmarkEnd w:id="108"/>
      <w:bookmarkEnd w:id="109"/>
      <w:r w:rsidRPr="001D7ABB">
        <w:rPr>
          <w:b/>
          <w:smallCaps/>
          <w:szCs w:val="22"/>
        </w:rPr>
        <w:t>D</w:t>
      </w:r>
      <w:r w:rsidR="001D7ABB">
        <w:rPr>
          <w:b/>
          <w:smallCaps/>
          <w:szCs w:val="22"/>
        </w:rPr>
        <w:t>ocuments for information</w:t>
      </w:r>
      <w:r w:rsidR="0025435C" w:rsidRPr="001D7ABB">
        <w:rPr>
          <w:rStyle w:val="FootnoteReference"/>
          <w:b/>
          <w:smallCaps/>
          <w:sz w:val="22"/>
          <w:szCs w:val="22"/>
          <w:lang w:val="fr-FR"/>
        </w:rPr>
        <w:footnoteReference w:id="33"/>
      </w:r>
    </w:p>
    <w:tbl>
      <w:tblPr>
        <w:tblW w:w="0" w:type="auto"/>
        <w:tblInd w:w="108" w:type="dxa"/>
        <w:tblLook w:val="04A0" w:firstRow="1" w:lastRow="0" w:firstColumn="1" w:lastColumn="0" w:noHBand="0" w:noVBand="1"/>
      </w:tblPr>
      <w:tblGrid>
        <w:gridCol w:w="1791"/>
        <w:gridCol w:w="7739"/>
      </w:tblGrid>
      <w:tr w:rsidR="00B374BF" w14:paraId="16BBF378" w14:textId="77777777" w:rsidTr="00DA409F">
        <w:tc>
          <w:tcPr>
            <w:tcW w:w="1843" w:type="dxa"/>
          </w:tcPr>
          <w:p w14:paraId="59BA0058" w14:textId="77777777" w:rsidR="00B374BF" w:rsidRDefault="00B374BF" w:rsidP="00DA409F">
            <w:pPr>
              <w:spacing w:after="120" w:line="240" w:lineRule="atLeast"/>
              <w:ind w:firstLine="174"/>
            </w:pPr>
            <w:bookmarkStart w:id="111" w:name="_Hlk163811035"/>
            <w:r w:rsidRPr="00C20B41">
              <w:t xml:space="preserve">Annex </w:t>
            </w:r>
            <w:r>
              <w:t>G</w:t>
            </w:r>
          </w:p>
        </w:tc>
        <w:tc>
          <w:tcPr>
            <w:tcW w:w="7903" w:type="dxa"/>
          </w:tcPr>
          <w:p w14:paraId="4FAC0EAD" w14:textId="77777777" w:rsidR="00B374BF" w:rsidRDefault="00B374BF" w:rsidP="00DA409F">
            <w:pPr>
              <w:spacing w:after="120" w:line="240" w:lineRule="atLeast"/>
            </w:pPr>
            <w:r w:rsidRPr="00C20B41">
              <w:t>Standard grant contract</w:t>
            </w:r>
          </w:p>
        </w:tc>
      </w:tr>
      <w:tr w:rsidR="00B374BF" w14:paraId="1BF148AE" w14:textId="77777777" w:rsidTr="00DA409F">
        <w:tc>
          <w:tcPr>
            <w:tcW w:w="1843" w:type="dxa"/>
          </w:tcPr>
          <w:p w14:paraId="4377F64B" w14:textId="77777777" w:rsidR="00B374BF" w:rsidRDefault="00B374BF" w:rsidP="00DA409F">
            <w:pPr>
              <w:spacing w:after="120" w:line="240" w:lineRule="atLeast"/>
              <w:ind w:left="171"/>
            </w:pPr>
            <w:r w:rsidRPr="00807DAF">
              <w:t>Annex II</w:t>
            </w:r>
          </w:p>
        </w:tc>
        <w:tc>
          <w:tcPr>
            <w:tcW w:w="7903" w:type="dxa"/>
          </w:tcPr>
          <w:p w14:paraId="6C3081D2" w14:textId="77777777" w:rsidR="00B374BF" w:rsidRDefault="00B374BF" w:rsidP="00DA409F">
            <w:pPr>
              <w:spacing w:after="120" w:line="240" w:lineRule="atLeast"/>
              <w:ind w:left="315" w:hanging="315"/>
            </w:pPr>
            <w:r>
              <w:t>G</w:t>
            </w:r>
            <w:r w:rsidRPr="00807DAF">
              <w:t>eneral conditions</w:t>
            </w:r>
          </w:p>
        </w:tc>
      </w:tr>
      <w:tr w:rsidR="00B374BF" w14:paraId="178EC464" w14:textId="77777777" w:rsidTr="00DA409F">
        <w:tc>
          <w:tcPr>
            <w:tcW w:w="1843" w:type="dxa"/>
          </w:tcPr>
          <w:p w14:paraId="127E0A90" w14:textId="77777777" w:rsidR="00B374BF" w:rsidRDefault="00B374BF" w:rsidP="00DA409F">
            <w:pPr>
              <w:spacing w:after="120" w:line="240" w:lineRule="atLeast"/>
              <w:ind w:left="171"/>
            </w:pPr>
            <w:r w:rsidRPr="00807DAF">
              <w:t>Annex IV</w:t>
            </w:r>
          </w:p>
        </w:tc>
        <w:tc>
          <w:tcPr>
            <w:tcW w:w="7903" w:type="dxa"/>
          </w:tcPr>
          <w:p w14:paraId="0867F781" w14:textId="77777777" w:rsidR="00B374BF" w:rsidRDefault="00B374BF" w:rsidP="00DA409F">
            <w:pPr>
              <w:spacing w:after="120" w:line="240" w:lineRule="atLeast"/>
              <w:ind w:left="315" w:hanging="315"/>
            </w:pPr>
            <w:r>
              <w:t>C</w:t>
            </w:r>
            <w:r w:rsidRPr="00807DAF">
              <w:t xml:space="preserve">ontract award </w:t>
            </w:r>
            <w:r>
              <w:t>rules</w:t>
            </w:r>
          </w:p>
        </w:tc>
      </w:tr>
      <w:tr w:rsidR="00B374BF" w14:paraId="17746724" w14:textId="77777777" w:rsidTr="00DA409F">
        <w:tc>
          <w:tcPr>
            <w:tcW w:w="1843" w:type="dxa"/>
          </w:tcPr>
          <w:p w14:paraId="5B10F077" w14:textId="77777777" w:rsidR="00B374BF" w:rsidRDefault="00B374BF" w:rsidP="00DA409F">
            <w:pPr>
              <w:spacing w:after="120" w:line="240" w:lineRule="atLeast"/>
              <w:ind w:left="171"/>
            </w:pPr>
            <w:r w:rsidRPr="00807DAF">
              <w:t>Annex V</w:t>
            </w:r>
          </w:p>
        </w:tc>
        <w:tc>
          <w:tcPr>
            <w:tcW w:w="7903" w:type="dxa"/>
          </w:tcPr>
          <w:p w14:paraId="33E5F1A7" w14:textId="77777777" w:rsidR="00B374BF" w:rsidRDefault="00B374BF" w:rsidP="00DA409F">
            <w:pPr>
              <w:spacing w:after="120" w:line="240" w:lineRule="atLeast"/>
              <w:ind w:left="315" w:hanging="315"/>
            </w:pPr>
            <w:r>
              <w:t>S</w:t>
            </w:r>
            <w:r w:rsidRPr="00807DAF">
              <w:t>tandard request for payment</w:t>
            </w:r>
          </w:p>
        </w:tc>
      </w:tr>
      <w:tr w:rsidR="00B374BF" w14:paraId="02D04DE8" w14:textId="77777777" w:rsidTr="00DA409F">
        <w:tc>
          <w:tcPr>
            <w:tcW w:w="1843" w:type="dxa"/>
          </w:tcPr>
          <w:p w14:paraId="67A590E4" w14:textId="77777777" w:rsidR="00B374BF" w:rsidRDefault="00B374BF" w:rsidP="00DA409F">
            <w:pPr>
              <w:spacing w:after="120" w:line="240" w:lineRule="atLeast"/>
              <w:ind w:left="171"/>
            </w:pPr>
            <w:r w:rsidRPr="00807DAF">
              <w:t>Annex VI</w:t>
            </w:r>
          </w:p>
        </w:tc>
        <w:tc>
          <w:tcPr>
            <w:tcW w:w="7903" w:type="dxa"/>
          </w:tcPr>
          <w:p w14:paraId="55B4593D" w14:textId="77777777" w:rsidR="00B374BF" w:rsidRDefault="00B374BF" w:rsidP="00DA409F">
            <w:pPr>
              <w:spacing w:after="120" w:line="240" w:lineRule="atLeast"/>
              <w:ind w:left="35"/>
            </w:pPr>
            <w:r>
              <w:t>M</w:t>
            </w:r>
            <w:r w:rsidRPr="00807DAF">
              <w:t>odel narrative and financial report</w:t>
            </w:r>
          </w:p>
        </w:tc>
      </w:tr>
      <w:tr w:rsidR="00B374BF" w14:paraId="0C1EBF27" w14:textId="77777777" w:rsidTr="00DA409F">
        <w:tc>
          <w:tcPr>
            <w:tcW w:w="1843" w:type="dxa"/>
          </w:tcPr>
          <w:p w14:paraId="0C498178" w14:textId="77777777" w:rsidR="00B374BF" w:rsidRDefault="00B374BF" w:rsidP="00DA409F">
            <w:pPr>
              <w:spacing w:after="120" w:line="240" w:lineRule="atLeast"/>
              <w:ind w:left="171"/>
            </w:pPr>
            <w:r w:rsidRPr="00BA6979">
              <w:lastRenderedPageBreak/>
              <w:t>Annex VII</w:t>
            </w:r>
            <w:r w:rsidR="007259CB">
              <w:t>-A</w:t>
            </w:r>
          </w:p>
          <w:p w14:paraId="7AF8974F" w14:textId="77777777" w:rsidR="00980482" w:rsidRDefault="00980482" w:rsidP="00DA409F">
            <w:pPr>
              <w:spacing w:after="120" w:line="240" w:lineRule="atLeast"/>
              <w:ind w:firstLine="174"/>
            </w:pPr>
          </w:p>
          <w:p w14:paraId="2DD1A3CF" w14:textId="77777777" w:rsidR="00702B09" w:rsidRDefault="00702B09" w:rsidP="00DA409F">
            <w:pPr>
              <w:spacing w:after="120" w:line="240" w:lineRule="atLeast"/>
              <w:ind w:firstLine="174"/>
            </w:pPr>
            <w:r>
              <w:t>Annex VII-B</w:t>
            </w:r>
          </w:p>
        </w:tc>
        <w:tc>
          <w:tcPr>
            <w:tcW w:w="7903" w:type="dxa"/>
          </w:tcPr>
          <w:p w14:paraId="5E85F8F7" w14:textId="77777777" w:rsidR="00B374BF" w:rsidRDefault="00B374BF" w:rsidP="00DA409F">
            <w:pPr>
              <w:spacing w:after="120" w:line="240" w:lineRule="atLeast"/>
              <w:ind w:left="35"/>
            </w:pPr>
            <w:r>
              <w:t>M</w:t>
            </w:r>
            <w:r w:rsidRPr="00BA6979">
              <w:t>odel report of factual findings and terms of reference for an expenditure verification of an EU financed grant contract for external action</w:t>
            </w:r>
          </w:p>
          <w:p w14:paraId="54AD017B" w14:textId="77777777" w:rsidR="00702B09" w:rsidRDefault="00702B09" w:rsidP="00DA409F">
            <w:pPr>
              <w:spacing w:after="120" w:line="240" w:lineRule="atLeast"/>
            </w:pPr>
            <w:r>
              <w:t xml:space="preserve">Terms of reference for a </w:t>
            </w:r>
            <w:proofErr w:type="gramStart"/>
            <w:r>
              <w:t>third party</w:t>
            </w:r>
            <w:proofErr w:type="gramEnd"/>
            <w:r>
              <w:t xml:space="preserve"> assessment in case of financing not linked to costs</w:t>
            </w:r>
          </w:p>
        </w:tc>
      </w:tr>
      <w:tr w:rsidR="00B374BF" w14:paraId="217C4C91" w14:textId="77777777" w:rsidTr="00DA409F">
        <w:tc>
          <w:tcPr>
            <w:tcW w:w="1843" w:type="dxa"/>
          </w:tcPr>
          <w:p w14:paraId="1297EB20" w14:textId="77777777" w:rsidR="00B374BF" w:rsidRDefault="00B374BF" w:rsidP="00DA409F">
            <w:pPr>
              <w:spacing w:after="120" w:line="240" w:lineRule="atLeast"/>
              <w:ind w:left="171"/>
            </w:pPr>
            <w:r w:rsidRPr="00807DAF">
              <w:t>Annex VIII</w:t>
            </w:r>
          </w:p>
        </w:tc>
        <w:tc>
          <w:tcPr>
            <w:tcW w:w="7903" w:type="dxa"/>
          </w:tcPr>
          <w:p w14:paraId="6923E7B0" w14:textId="77777777" w:rsidR="00B374BF" w:rsidRDefault="00B374BF" w:rsidP="00DA409F">
            <w:pPr>
              <w:spacing w:after="120" w:line="240" w:lineRule="atLeast"/>
              <w:ind w:left="315" w:hanging="315"/>
            </w:pPr>
            <w:r>
              <w:t>M</w:t>
            </w:r>
            <w:r w:rsidRPr="00807DAF">
              <w:t>odel financial guarantee</w:t>
            </w:r>
          </w:p>
        </w:tc>
      </w:tr>
      <w:tr w:rsidR="00B374BF" w14:paraId="75A4C727" w14:textId="77777777" w:rsidTr="00DA409F">
        <w:tc>
          <w:tcPr>
            <w:tcW w:w="1843" w:type="dxa"/>
          </w:tcPr>
          <w:p w14:paraId="3892134B" w14:textId="77777777" w:rsidR="00B374BF" w:rsidRDefault="00B374BF" w:rsidP="00DA409F">
            <w:pPr>
              <w:spacing w:after="120" w:line="240" w:lineRule="atLeast"/>
              <w:ind w:left="171"/>
            </w:pPr>
            <w:r>
              <w:t>Annex IX</w:t>
            </w:r>
          </w:p>
        </w:tc>
        <w:tc>
          <w:tcPr>
            <w:tcW w:w="7903" w:type="dxa"/>
          </w:tcPr>
          <w:p w14:paraId="56FAFC10" w14:textId="77777777" w:rsidR="00B374BF" w:rsidRDefault="00B374BF" w:rsidP="00DA409F">
            <w:pPr>
              <w:spacing w:after="120" w:line="240" w:lineRule="atLeast"/>
              <w:ind w:left="315" w:hanging="315"/>
            </w:pPr>
            <w:r>
              <w:t>Standard template for transfer of ownership of assets</w:t>
            </w:r>
          </w:p>
        </w:tc>
      </w:tr>
      <w:tr w:rsidR="00B374BF" w14:paraId="4A47A170" w14:textId="77777777" w:rsidTr="00DA409F">
        <w:tc>
          <w:tcPr>
            <w:tcW w:w="1843" w:type="dxa"/>
          </w:tcPr>
          <w:p w14:paraId="4D791F19" w14:textId="77777777" w:rsidR="00B374BF" w:rsidRDefault="00B374BF" w:rsidP="00DA409F">
            <w:pPr>
              <w:spacing w:after="120" w:line="240" w:lineRule="atLeast"/>
              <w:ind w:firstLine="174"/>
            </w:pPr>
            <w:r w:rsidRPr="00DA409F">
              <w:rPr>
                <w:szCs w:val="22"/>
              </w:rPr>
              <w:t>Annex I</w:t>
            </w:r>
          </w:p>
        </w:tc>
        <w:tc>
          <w:tcPr>
            <w:tcW w:w="7903" w:type="dxa"/>
          </w:tcPr>
          <w:p w14:paraId="3AAAECB5" w14:textId="23A24CB0" w:rsidR="00B374BF" w:rsidRDefault="00B374BF" w:rsidP="00DA409F">
            <w:pPr>
              <w:spacing w:after="120" w:line="240" w:lineRule="atLeast"/>
            </w:pPr>
            <w:r w:rsidRPr="00DA409F">
              <w:rPr>
                <w:szCs w:val="22"/>
              </w:rPr>
              <w:t xml:space="preserve">Daily allowance rates (per diem), available at the following address: </w:t>
            </w:r>
            <w:hyperlink r:id="rId38" w:history="1">
              <w:r w:rsidRPr="009C01D2">
                <w:rPr>
                  <w:rStyle w:val="Hyperlink"/>
                </w:rPr>
                <w:t>https://international-partnerships.ec.europa.eu/funding/guidelines/managing-project/diem-rates_en</w:t>
              </w:r>
            </w:hyperlink>
            <w:r>
              <w:t xml:space="preserve">  </w:t>
            </w:r>
          </w:p>
        </w:tc>
      </w:tr>
      <w:tr w:rsidR="00B374BF" w14:paraId="248A4107" w14:textId="77777777" w:rsidTr="00DA409F">
        <w:tc>
          <w:tcPr>
            <w:tcW w:w="1843" w:type="dxa"/>
          </w:tcPr>
          <w:p w14:paraId="39091CAE" w14:textId="77777777" w:rsidR="00B374BF" w:rsidRDefault="001D7ABB" w:rsidP="00DA409F">
            <w:pPr>
              <w:spacing w:after="120" w:line="240" w:lineRule="atLeast"/>
              <w:ind w:firstLine="174"/>
            </w:pPr>
            <w:r w:rsidRPr="00DA409F">
              <w:rPr>
                <w:szCs w:val="22"/>
              </w:rPr>
              <w:t>Annex J</w:t>
            </w:r>
          </w:p>
        </w:tc>
        <w:tc>
          <w:tcPr>
            <w:tcW w:w="7903" w:type="dxa"/>
          </w:tcPr>
          <w:p w14:paraId="2D9E14A1" w14:textId="77777777" w:rsidR="00B374BF" w:rsidRDefault="001D7ABB" w:rsidP="00DA409F">
            <w:pPr>
              <w:spacing w:after="120" w:line="240" w:lineRule="atLeast"/>
            </w:pPr>
            <w:r w:rsidRPr="00DA409F">
              <w:rPr>
                <w:szCs w:val="22"/>
              </w:rPr>
              <w:t>Information on the tax regime applicable to grant contracts signed under the call.</w:t>
            </w:r>
          </w:p>
        </w:tc>
      </w:tr>
      <w:tr w:rsidR="00B374BF" w14:paraId="53895A8A" w14:textId="77777777" w:rsidTr="00DA409F">
        <w:tc>
          <w:tcPr>
            <w:tcW w:w="1843" w:type="dxa"/>
          </w:tcPr>
          <w:p w14:paraId="66ED6988" w14:textId="77777777" w:rsidR="00B374BF" w:rsidRDefault="001D7ABB" w:rsidP="00DA409F">
            <w:pPr>
              <w:spacing w:after="120" w:line="240" w:lineRule="atLeast"/>
              <w:ind w:firstLine="174"/>
            </w:pPr>
            <w:r w:rsidRPr="00DA409F">
              <w:rPr>
                <w:szCs w:val="22"/>
              </w:rPr>
              <w:t>Annex K</w:t>
            </w:r>
          </w:p>
        </w:tc>
        <w:tc>
          <w:tcPr>
            <w:tcW w:w="7903" w:type="dxa"/>
          </w:tcPr>
          <w:p w14:paraId="3CF664E4" w14:textId="65FB200E" w:rsidR="00B374BF" w:rsidRDefault="00616325" w:rsidP="00DA409F">
            <w:pPr>
              <w:spacing w:after="120" w:line="240" w:lineRule="atLeast"/>
            </w:pPr>
            <w:r>
              <w:t>[Not applicable]</w:t>
            </w:r>
          </w:p>
        </w:tc>
      </w:tr>
    </w:tbl>
    <w:p w14:paraId="5763468F" w14:textId="77777777" w:rsidR="001D7ABB" w:rsidRPr="001D7ABB" w:rsidRDefault="001D7ABB" w:rsidP="001417D6">
      <w:pPr>
        <w:spacing w:before="480" w:after="120" w:line="240" w:lineRule="atLeast"/>
        <w:rPr>
          <w:b/>
          <w:smallCaps/>
          <w:szCs w:val="22"/>
        </w:rPr>
      </w:pPr>
      <w:bookmarkStart w:id="112" w:name="_Hlk163811061"/>
      <w:bookmarkStart w:id="113" w:name="_Toc216513984"/>
      <w:bookmarkEnd w:id="110"/>
      <w:bookmarkEnd w:id="111"/>
      <w:r>
        <w:rPr>
          <w:b/>
          <w:smallCaps/>
          <w:szCs w:val="22"/>
        </w:rPr>
        <w:t>Useful links</w:t>
      </w:r>
    </w:p>
    <w:tbl>
      <w:tblPr>
        <w:tblW w:w="0" w:type="auto"/>
        <w:tblInd w:w="108" w:type="dxa"/>
        <w:tblLook w:val="04A0" w:firstRow="1" w:lastRow="0" w:firstColumn="1" w:lastColumn="0" w:noHBand="0" w:noVBand="1"/>
      </w:tblPr>
      <w:tblGrid>
        <w:gridCol w:w="3300"/>
        <w:gridCol w:w="6230"/>
      </w:tblGrid>
      <w:tr w:rsidR="001D7ABB" w14:paraId="2EB78788" w14:textId="77777777" w:rsidTr="00DA409F">
        <w:tc>
          <w:tcPr>
            <w:tcW w:w="3516" w:type="dxa"/>
          </w:tcPr>
          <w:p w14:paraId="1696C168" w14:textId="77777777" w:rsidR="001D7ABB" w:rsidRPr="001417D6" w:rsidRDefault="001D7ABB" w:rsidP="00DA409F">
            <w:pPr>
              <w:spacing w:after="120" w:line="240" w:lineRule="atLeast"/>
              <w:jc w:val="left"/>
            </w:pPr>
            <w:bookmarkStart w:id="114" w:name="_Hlk163811051"/>
            <w:bookmarkEnd w:id="112"/>
            <w:r w:rsidRPr="001417D6">
              <w:t>PRAG</w:t>
            </w:r>
          </w:p>
        </w:tc>
        <w:tc>
          <w:tcPr>
            <w:tcW w:w="6230" w:type="dxa"/>
          </w:tcPr>
          <w:p w14:paraId="30866403" w14:textId="77777777" w:rsidR="001D7ABB" w:rsidRDefault="001D7ABB" w:rsidP="00DA409F">
            <w:pPr>
              <w:spacing w:after="120" w:line="240" w:lineRule="atLeast"/>
            </w:pPr>
            <w:hyperlink r:id="rId39" w:history="1">
              <w:r w:rsidRPr="00556E3A">
                <w:rPr>
                  <w:rStyle w:val="Hyperlink"/>
                </w:rPr>
                <w:t>https://wikis.ec.europa.eu/display/ExactExternalWiki/ePRAG</w:t>
              </w:r>
            </w:hyperlink>
          </w:p>
        </w:tc>
      </w:tr>
      <w:tr w:rsidR="001D7ABB" w14:paraId="23991B83" w14:textId="77777777" w:rsidTr="00DA409F">
        <w:tc>
          <w:tcPr>
            <w:tcW w:w="3516" w:type="dxa"/>
          </w:tcPr>
          <w:p w14:paraId="51D727F9" w14:textId="77777777" w:rsidR="001D7ABB" w:rsidRPr="00DA409F" w:rsidRDefault="001D7ABB" w:rsidP="00DA409F">
            <w:pPr>
              <w:spacing w:after="120" w:line="240" w:lineRule="atLeast"/>
              <w:jc w:val="left"/>
              <w:rPr>
                <w:szCs w:val="22"/>
              </w:rPr>
            </w:pPr>
            <w:r w:rsidRPr="00DA409F">
              <w:rPr>
                <w:szCs w:val="22"/>
              </w:rPr>
              <w:t>Project Cycle Management Guidelines</w:t>
            </w:r>
          </w:p>
        </w:tc>
        <w:tc>
          <w:tcPr>
            <w:tcW w:w="6230" w:type="dxa"/>
          </w:tcPr>
          <w:p w14:paraId="462564CE" w14:textId="77777777" w:rsidR="001D7ABB" w:rsidRDefault="001D7ABB" w:rsidP="00DA409F">
            <w:pPr>
              <w:spacing w:after="120" w:line="240" w:lineRule="atLeast"/>
            </w:pPr>
            <w:hyperlink r:id="rId40" w:history="1">
              <w:r w:rsidRPr="00BA6979">
                <w:rPr>
                  <w:rStyle w:val="Hyperlink"/>
                </w:rPr>
                <w:t>https://ec.europa.eu/international-partnerships/funding/managing-project_en</w:t>
              </w:r>
            </w:hyperlink>
          </w:p>
        </w:tc>
      </w:tr>
      <w:tr w:rsidR="001D7ABB" w14:paraId="35AEAB21" w14:textId="77777777" w:rsidTr="00DA409F">
        <w:tc>
          <w:tcPr>
            <w:tcW w:w="3516" w:type="dxa"/>
          </w:tcPr>
          <w:p w14:paraId="43C140EA" w14:textId="77777777" w:rsidR="001D7ABB" w:rsidRPr="001417D6" w:rsidRDefault="001D7ABB" w:rsidP="00DA409F">
            <w:pPr>
              <w:spacing w:after="120" w:line="240" w:lineRule="atLeast"/>
              <w:jc w:val="left"/>
            </w:pPr>
            <w:r w:rsidRPr="00DA409F">
              <w:rPr>
                <w:szCs w:val="22"/>
              </w:rPr>
              <w:t>The implementation of grant contracts, A Users' Guide</w:t>
            </w:r>
            <w:r w:rsidRPr="001417D6">
              <w:t xml:space="preserve"> </w:t>
            </w:r>
          </w:p>
        </w:tc>
        <w:tc>
          <w:tcPr>
            <w:tcW w:w="6230" w:type="dxa"/>
          </w:tcPr>
          <w:p w14:paraId="67E4200E" w14:textId="77777777" w:rsidR="001D7ABB" w:rsidRDefault="001D7ABB" w:rsidP="00DA409F">
            <w:pPr>
              <w:spacing w:after="120" w:line="240" w:lineRule="atLeast"/>
            </w:pPr>
            <w:hyperlink r:id="rId41" w:history="1">
              <w:r w:rsidRPr="001A5A22">
                <w:rPr>
                  <w:rStyle w:val="Hyperlink"/>
                </w:rPr>
                <w:t>https://wikis.ec.europa.eu/pages/viewpage.action?pageId=48169235</w:t>
              </w:r>
            </w:hyperlink>
            <w:r>
              <w:t xml:space="preserve"> </w:t>
            </w:r>
          </w:p>
        </w:tc>
      </w:tr>
      <w:tr w:rsidR="001D7ABB" w14:paraId="23FF73BA" w14:textId="77777777" w:rsidTr="00DA409F">
        <w:tc>
          <w:tcPr>
            <w:tcW w:w="3516" w:type="dxa"/>
          </w:tcPr>
          <w:p w14:paraId="08E7D600" w14:textId="77777777" w:rsidR="001D7ABB" w:rsidRPr="001417D6" w:rsidRDefault="001D7ABB" w:rsidP="00DA409F">
            <w:pPr>
              <w:spacing w:after="120" w:line="240" w:lineRule="atLeast"/>
              <w:jc w:val="left"/>
            </w:pPr>
            <w:r w:rsidRPr="00DA409F">
              <w:rPr>
                <w:szCs w:val="22"/>
                <w:lang w:val="es-ES"/>
              </w:rPr>
              <w:t>Financial Toolkit</w:t>
            </w:r>
            <w:r w:rsidRPr="00DA409F">
              <w:rPr>
                <w:rStyle w:val="FootnoteReference"/>
                <w:szCs w:val="22"/>
                <w:lang w:val="es-ES"/>
              </w:rPr>
              <w:footnoteReference w:id="34"/>
            </w:r>
          </w:p>
        </w:tc>
        <w:tc>
          <w:tcPr>
            <w:tcW w:w="6230" w:type="dxa"/>
          </w:tcPr>
          <w:p w14:paraId="41097CA4" w14:textId="77777777" w:rsidR="001D7ABB" w:rsidRPr="001D7ABB" w:rsidRDefault="001D7ABB" w:rsidP="00DA409F">
            <w:pPr>
              <w:spacing w:after="120" w:line="240" w:lineRule="atLeast"/>
            </w:pPr>
            <w:hyperlink r:id="rId42" w:history="1">
              <w:r w:rsidRPr="001A5A22">
                <w:rPr>
                  <w:rStyle w:val="Hyperlink"/>
                </w:rPr>
                <w:t>https://ec.europa.eu/international-partnerships/financial-management-toolkit_en</w:t>
              </w:r>
            </w:hyperlink>
          </w:p>
        </w:tc>
      </w:tr>
      <w:tr w:rsidR="001D7ABB" w14:paraId="3D8F6348" w14:textId="77777777" w:rsidTr="00DA409F">
        <w:tc>
          <w:tcPr>
            <w:tcW w:w="3516" w:type="dxa"/>
          </w:tcPr>
          <w:p w14:paraId="1A075960" w14:textId="77777777" w:rsidR="001D7ABB" w:rsidRPr="00DA409F" w:rsidRDefault="001D7ABB" w:rsidP="00DA409F">
            <w:pPr>
              <w:spacing w:after="120" w:line="240" w:lineRule="atLeast"/>
              <w:jc w:val="left"/>
              <w:rPr>
                <w:lang w:val="en-IE"/>
              </w:rPr>
            </w:pPr>
            <w:r w:rsidRPr="00DA409F">
              <w:rPr>
                <w:lang w:val="en-IE"/>
              </w:rPr>
              <w:t>Early Detection and Exclusion System (EDES)</w:t>
            </w:r>
          </w:p>
        </w:tc>
        <w:tc>
          <w:tcPr>
            <w:tcW w:w="6230" w:type="dxa"/>
          </w:tcPr>
          <w:p w14:paraId="26FC7132" w14:textId="77777777" w:rsidR="001D7ABB" w:rsidRDefault="001D7ABB" w:rsidP="00DA409F">
            <w:pPr>
              <w:spacing w:after="120" w:line="240" w:lineRule="atLeast"/>
            </w:pPr>
            <w:hyperlink r:id="rId43" w:anchor="data-protection" w:history="1">
              <w:r w:rsidRPr="001A5A22">
                <w:rPr>
                  <w:rStyle w:val="Hyperlink"/>
                </w:rPr>
                <w:t>https://commission.europa.eu/strategy-and-policy/eu-budget/how-it-works/annual-lifecycle/implementation/anti-fraud-measures/edes_en#data-protection</w:t>
              </w:r>
            </w:hyperlink>
          </w:p>
        </w:tc>
      </w:tr>
      <w:bookmarkEnd w:id="113"/>
      <w:bookmarkEnd w:id="114"/>
    </w:tbl>
    <w:p w14:paraId="40E08C03" w14:textId="77777777" w:rsidR="00993186" w:rsidRPr="001B7D50" w:rsidRDefault="00993186" w:rsidP="001B7D50">
      <w:pPr>
        <w:spacing w:after="120" w:line="240" w:lineRule="atLeast"/>
        <w:rPr>
          <w:szCs w:val="22"/>
          <w:highlight w:val="magenta"/>
          <w:lang w:val="en-IE"/>
        </w:rPr>
      </w:pPr>
    </w:p>
    <w:sectPr w:rsidR="00993186" w:rsidRPr="001B7D50" w:rsidSect="002D4ACD">
      <w:pgSz w:w="11906" w:h="16838" w:code="9"/>
      <w:pgMar w:top="1021" w:right="1134" w:bottom="1021" w:left="1134" w:header="567" w:footer="54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36A84" w14:textId="77777777" w:rsidR="00E922B6" w:rsidRDefault="00E922B6">
      <w:r>
        <w:separator/>
      </w:r>
    </w:p>
    <w:p w14:paraId="722A2D4E" w14:textId="77777777" w:rsidR="00E922B6" w:rsidRDefault="00E922B6"/>
  </w:endnote>
  <w:endnote w:type="continuationSeparator" w:id="0">
    <w:p w14:paraId="75BB0E72" w14:textId="77777777" w:rsidR="00E922B6" w:rsidRDefault="00E922B6">
      <w:r>
        <w:continuationSeparator/>
      </w:r>
    </w:p>
    <w:p w14:paraId="24263030" w14:textId="77777777" w:rsidR="00E922B6" w:rsidRDefault="00E92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2A" w14:textId="23D993E5" w:rsidR="00190A5D" w:rsidRPr="00190A5D" w:rsidRDefault="00190A5D" w:rsidP="00190A5D">
    <w:pPr>
      <w:pStyle w:val="Footer"/>
      <w:tabs>
        <w:tab w:val="right" w:pos="9639"/>
      </w:tabs>
      <w:spacing w:after="0"/>
      <w:rPr>
        <w:rFonts w:ascii="Times New Roman" w:hAnsi="Times New Roman"/>
        <w:sz w:val="18"/>
        <w:szCs w:val="18"/>
      </w:rPr>
    </w:pPr>
    <w:r w:rsidRPr="00190A5D">
      <w:rPr>
        <w:rFonts w:ascii="Times New Roman" w:hAnsi="Times New Roman"/>
        <w:b/>
        <w:sz w:val="18"/>
        <w:szCs w:val="18"/>
      </w:rPr>
      <w:t>EuropeAid/</w:t>
    </w:r>
    <w:r w:rsidRPr="00190A5D">
      <w:rPr>
        <w:rFonts w:ascii="Times New Roman" w:hAnsi="Times New Roman"/>
        <w:b/>
        <w:noProof/>
        <w:sz w:val="18"/>
        <w:szCs w:val="18"/>
      </w:rPr>
      <w:t>184490</w:t>
    </w:r>
    <w:r w:rsidRPr="00190A5D">
      <w:rPr>
        <w:rFonts w:ascii="Times New Roman" w:hAnsi="Times New Roman"/>
        <w:b/>
        <w:sz w:val="18"/>
        <w:szCs w:val="18"/>
      </w:rPr>
      <w:t>/</w:t>
    </w:r>
    <w:r w:rsidRPr="00190A5D">
      <w:rPr>
        <w:rFonts w:ascii="Times New Roman" w:hAnsi="Times New Roman"/>
        <w:b/>
        <w:noProof/>
        <w:sz w:val="18"/>
        <w:szCs w:val="18"/>
      </w:rPr>
      <w:t>DD</w:t>
    </w:r>
    <w:r w:rsidRPr="00190A5D">
      <w:rPr>
        <w:rFonts w:ascii="Times New Roman" w:hAnsi="Times New Roman"/>
        <w:b/>
        <w:sz w:val="18"/>
        <w:szCs w:val="18"/>
      </w:rPr>
      <w:t>/</w:t>
    </w:r>
    <w:r w:rsidRPr="00190A5D">
      <w:rPr>
        <w:rFonts w:ascii="Times New Roman" w:hAnsi="Times New Roman"/>
        <w:b/>
        <w:noProof/>
        <w:sz w:val="18"/>
        <w:szCs w:val="18"/>
      </w:rPr>
      <w:t>ACT</w:t>
    </w:r>
    <w:r w:rsidRPr="00190A5D">
      <w:rPr>
        <w:rFonts w:ascii="Times New Roman" w:hAnsi="Times New Roman"/>
        <w:b/>
        <w:sz w:val="18"/>
        <w:szCs w:val="18"/>
      </w:rPr>
      <w:t>/</w:t>
    </w:r>
    <w:r w:rsidRPr="00190A5D">
      <w:rPr>
        <w:rFonts w:ascii="Times New Roman" w:hAnsi="Times New Roman"/>
        <w:b/>
        <w:noProof/>
        <w:sz w:val="18"/>
        <w:szCs w:val="18"/>
      </w:rPr>
      <w:t>UA</w:t>
    </w:r>
    <w:r w:rsidRPr="00190A5D">
      <w:rPr>
        <w:rFonts w:ascii="Times New Roman" w:hAnsi="Times New Roman"/>
        <w:sz w:val="18"/>
        <w:szCs w:val="18"/>
      </w:rPr>
      <w:tab/>
      <w:t xml:space="preserve">Page </w:t>
    </w:r>
    <w:r w:rsidRPr="00190A5D">
      <w:rPr>
        <w:rFonts w:ascii="Times New Roman" w:hAnsi="Times New Roman"/>
        <w:sz w:val="18"/>
        <w:szCs w:val="18"/>
      </w:rPr>
      <w:fldChar w:fldCharType="begin"/>
    </w:r>
    <w:r w:rsidRPr="00190A5D">
      <w:rPr>
        <w:rFonts w:ascii="Times New Roman" w:hAnsi="Times New Roman"/>
        <w:sz w:val="18"/>
        <w:szCs w:val="18"/>
      </w:rPr>
      <w:instrText xml:space="preserve"> PAGE   \* MERGEFORMAT </w:instrText>
    </w:r>
    <w:r w:rsidRPr="00190A5D">
      <w:rPr>
        <w:rFonts w:ascii="Times New Roman" w:hAnsi="Times New Roman"/>
        <w:sz w:val="18"/>
        <w:szCs w:val="18"/>
      </w:rPr>
      <w:fldChar w:fldCharType="separate"/>
    </w:r>
    <w:r w:rsidRPr="00190A5D">
      <w:rPr>
        <w:rFonts w:ascii="Times New Roman" w:hAnsi="Times New Roman"/>
        <w:sz w:val="18"/>
        <w:szCs w:val="18"/>
      </w:rPr>
      <w:t>1</w:t>
    </w:r>
    <w:r w:rsidRPr="00190A5D">
      <w:rPr>
        <w:rFonts w:ascii="Times New Roman" w:hAnsi="Times New Roman"/>
        <w:sz w:val="18"/>
        <w:szCs w:val="18"/>
      </w:rPr>
      <w:fldChar w:fldCharType="end"/>
    </w:r>
    <w:r w:rsidRPr="00190A5D">
      <w:rPr>
        <w:rFonts w:ascii="Times New Roman" w:hAnsi="Times New Roman"/>
        <w:sz w:val="18"/>
        <w:szCs w:val="18"/>
      </w:rPr>
      <w:t xml:space="preserve"> of </w:t>
    </w:r>
    <w:r w:rsidRPr="00190A5D">
      <w:rPr>
        <w:rFonts w:ascii="Times New Roman" w:hAnsi="Times New Roman"/>
        <w:sz w:val="18"/>
        <w:szCs w:val="18"/>
      </w:rPr>
      <w:fldChar w:fldCharType="begin"/>
    </w:r>
    <w:r w:rsidRPr="00190A5D">
      <w:rPr>
        <w:rFonts w:ascii="Times New Roman" w:hAnsi="Times New Roman"/>
        <w:sz w:val="18"/>
        <w:szCs w:val="18"/>
      </w:rPr>
      <w:instrText xml:space="preserve"> NUMPAGES   \* MERGEFORMAT </w:instrText>
    </w:r>
    <w:r w:rsidRPr="00190A5D">
      <w:rPr>
        <w:rFonts w:ascii="Times New Roman" w:hAnsi="Times New Roman"/>
        <w:sz w:val="18"/>
        <w:szCs w:val="18"/>
      </w:rPr>
      <w:fldChar w:fldCharType="separate"/>
    </w:r>
    <w:r w:rsidRPr="00190A5D">
      <w:rPr>
        <w:rFonts w:ascii="Times New Roman" w:hAnsi="Times New Roman"/>
        <w:sz w:val="18"/>
        <w:szCs w:val="18"/>
      </w:rPr>
      <w:t>32</w:t>
    </w:r>
    <w:r w:rsidRPr="00190A5D">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189F9" w14:textId="72D1EECB" w:rsidR="00AD5CC3" w:rsidRDefault="00AD5CC3" w:rsidP="00491F8A">
    <w:pPr>
      <w:pStyle w:val="Footer"/>
      <w:tabs>
        <w:tab w:val="right" w:pos="9639"/>
      </w:tabs>
      <w:spacing w:after="0"/>
      <w:rPr>
        <w:rFonts w:ascii="Times New Roman" w:hAnsi="Times New Roman"/>
        <w:sz w:val="18"/>
        <w:szCs w:val="18"/>
      </w:rPr>
    </w:pPr>
    <w:r w:rsidRPr="009A7E42">
      <w:rPr>
        <w:rFonts w:ascii="Times New Roman" w:hAnsi="Times New Roman"/>
        <w:b/>
        <w:sz w:val="18"/>
        <w:szCs w:val="18"/>
      </w:rPr>
      <w:t>EuropeAid/</w:t>
    </w:r>
    <w:r>
      <w:rPr>
        <w:rFonts w:ascii="Times New Roman" w:hAnsi="Times New Roman"/>
        <w:b/>
        <w:noProof/>
        <w:sz w:val="18"/>
        <w:szCs w:val="18"/>
      </w:rPr>
      <w:t>184490</w:t>
    </w:r>
    <w:r w:rsidRPr="009A7E42">
      <w:rPr>
        <w:rFonts w:ascii="Times New Roman" w:hAnsi="Times New Roman"/>
        <w:b/>
        <w:sz w:val="18"/>
        <w:szCs w:val="18"/>
      </w:rPr>
      <w:t>/</w:t>
    </w:r>
    <w:r>
      <w:rPr>
        <w:rFonts w:ascii="Times New Roman" w:hAnsi="Times New Roman"/>
        <w:b/>
        <w:noProof/>
        <w:sz w:val="18"/>
        <w:szCs w:val="18"/>
      </w:rPr>
      <w:t>DD</w:t>
    </w:r>
    <w:r w:rsidRPr="009A7E42">
      <w:rPr>
        <w:rFonts w:ascii="Times New Roman" w:hAnsi="Times New Roman"/>
        <w:b/>
        <w:sz w:val="18"/>
        <w:szCs w:val="18"/>
      </w:rPr>
      <w:t>/</w:t>
    </w:r>
    <w:r>
      <w:rPr>
        <w:rFonts w:ascii="Times New Roman" w:hAnsi="Times New Roman"/>
        <w:b/>
        <w:noProof/>
        <w:sz w:val="18"/>
        <w:szCs w:val="18"/>
      </w:rPr>
      <w:t>ACT</w:t>
    </w:r>
    <w:r w:rsidRPr="009A7E42">
      <w:rPr>
        <w:rFonts w:ascii="Times New Roman" w:hAnsi="Times New Roman"/>
        <w:b/>
        <w:sz w:val="18"/>
        <w:szCs w:val="18"/>
      </w:rPr>
      <w:t>/</w:t>
    </w:r>
    <w:r>
      <w:rPr>
        <w:rFonts w:ascii="Times New Roman" w:hAnsi="Times New Roman"/>
        <w:b/>
        <w:noProof/>
        <w:sz w:val="18"/>
        <w:szCs w:val="18"/>
      </w:rPr>
      <w:t>UA</w:t>
    </w:r>
    <w:r w:rsidRPr="00A016F9">
      <w:rPr>
        <w:rFonts w:ascii="Times New Roman" w:hAnsi="Times New Roman"/>
        <w:sz w:val="18"/>
        <w:szCs w:val="18"/>
      </w:rPr>
      <w:tab/>
      <w:t xml:space="preserve">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DB1AE6">
      <w:rPr>
        <w:rFonts w:ascii="Times New Roman" w:hAnsi="Times New Roman"/>
        <w:noProof/>
        <w:sz w:val="18"/>
        <w:szCs w:val="18"/>
      </w:rPr>
      <w:t>4</w:t>
    </w:r>
    <w:r>
      <w:rPr>
        <w:rFonts w:ascii="Times New Roman" w:hAnsi="Times New Roman"/>
        <w:sz w:val="18"/>
        <w:szCs w:val="18"/>
      </w:rPr>
      <w:fldChar w:fldCharType="end"/>
    </w:r>
    <w:r w:rsidRPr="00A016F9">
      <w:rPr>
        <w:rFonts w:ascii="Times New Roman" w:hAnsi="Times New Roman"/>
        <w:sz w:val="18"/>
        <w:szCs w:val="18"/>
      </w:rPr>
      <w:t xml:space="preserve"> of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DB1AE6">
      <w:rPr>
        <w:rFonts w:ascii="Times New Roman" w:hAnsi="Times New Roman"/>
        <w:noProof/>
        <w:sz w:val="18"/>
        <w:szCs w:val="18"/>
      </w:rPr>
      <w:t>33</w:t>
    </w:r>
    <w:r>
      <w:rPr>
        <w:rFonts w:ascii="Times New Roman" w:hAnsi="Times New Roman"/>
        <w:sz w:val="18"/>
        <w:szCs w:val="18"/>
      </w:rPr>
      <w:fldChar w:fldCharType="end"/>
    </w:r>
  </w:p>
  <w:p w14:paraId="718702A0" w14:textId="77777777" w:rsidR="00AD5CC3" w:rsidRPr="00491F8A" w:rsidRDefault="00AD5CC3" w:rsidP="00491F8A">
    <w:pPr>
      <w:pStyle w:val="Footer"/>
      <w:tabs>
        <w:tab w:val="right" w:pos="9639"/>
      </w:tabs>
      <w:spacing w:after="0"/>
      <w:rPr>
        <w:rFonts w:ascii="Times New Roman" w:hAnsi="Times New Roman"/>
        <w:sz w:val="18"/>
        <w:szCs w:val="18"/>
      </w:rPr>
    </w:pPr>
    <w:r>
      <w:rPr>
        <w:rFonts w:ascii="Times New Roman" w:hAnsi="Times New Roman"/>
        <w:b/>
        <w:sz w:val="18"/>
        <w:szCs w:val="18"/>
      </w:rPr>
      <w:t xml:space="preserve">2025 </w:t>
    </w:r>
    <w:r w:rsidRPr="00946B25">
      <w:rPr>
        <w:rFonts w:ascii="Times New Roman" w:hAnsi="Times New Roman"/>
        <w:bCs/>
        <w:noProof/>
        <w:sz w:val="18"/>
        <w:szCs w:val="18"/>
      </w:rPr>
      <w:fldChar w:fldCharType="begin"/>
    </w:r>
    <w:r w:rsidRPr="00946B25">
      <w:rPr>
        <w:rFonts w:ascii="Times New Roman" w:hAnsi="Times New Roman"/>
        <w:bCs/>
        <w:noProof/>
        <w:sz w:val="18"/>
        <w:szCs w:val="18"/>
      </w:rPr>
      <w:instrText xml:space="preserve"> FILENAME </w:instrText>
    </w:r>
    <w:r w:rsidRPr="00946B25">
      <w:rPr>
        <w:rFonts w:ascii="Times New Roman" w:hAnsi="Times New Roman"/>
        <w:bCs/>
        <w:noProof/>
        <w:sz w:val="18"/>
        <w:szCs w:val="18"/>
      </w:rPr>
      <w:fldChar w:fldCharType="separate"/>
    </w:r>
    <w:r>
      <w:rPr>
        <w:rFonts w:ascii="Times New Roman" w:hAnsi="Times New Roman"/>
        <w:bCs/>
        <w:noProof/>
        <w:sz w:val="18"/>
        <w:szCs w:val="18"/>
      </w:rPr>
      <w:t>20250827 Guidelines for grant applicant restricted (en)</w:t>
    </w:r>
    <w:r w:rsidRPr="00946B25">
      <w:rPr>
        <w:rFonts w:ascii="Times New Roman" w:hAnsi="Times New Roman"/>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5B40" w14:textId="77777777" w:rsidR="00E922B6" w:rsidRDefault="00E922B6" w:rsidP="00F53E16">
      <w:pPr>
        <w:spacing w:before="120" w:after="0"/>
      </w:pPr>
      <w:r>
        <w:separator/>
      </w:r>
    </w:p>
  </w:footnote>
  <w:footnote w:type="continuationSeparator" w:id="0">
    <w:p w14:paraId="4BB2797B" w14:textId="77777777" w:rsidR="00E922B6" w:rsidRDefault="00E922B6">
      <w:r>
        <w:continuationSeparator/>
      </w:r>
    </w:p>
  </w:footnote>
  <w:footnote w:type="continuationNotice" w:id="1">
    <w:p w14:paraId="119BC6C3" w14:textId="77777777" w:rsidR="00E922B6" w:rsidRPr="004D357E" w:rsidRDefault="00E922B6" w:rsidP="004D357E">
      <w:pPr>
        <w:pStyle w:val="Footer"/>
      </w:pPr>
    </w:p>
  </w:footnote>
  <w:footnote w:id="2">
    <w:p w14:paraId="0599662A" w14:textId="77777777" w:rsidR="00AD5CC3" w:rsidRDefault="00AD5CC3" w:rsidP="00BD0DE9">
      <w:pPr>
        <w:pStyle w:val="FootnoteText"/>
      </w:pPr>
      <w:r w:rsidRPr="001417D6">
        <w:rPr>
          <w:rStyle w:val="FootnoteReference"/>
          <w:sz w:val="20"/>
        </w:rPr>
        <w:footnoteRef/>
      </w:r>
      <w:r w:rsidRPr="001417D6">
        <w:tab/>
        <w:t>Online submission via PROSPECT is mandatory for this call for proposals (see Section 2.2.2). In PROSPECT all dates and times are expressed in Brussels time. Applicants should note that the IT support is open Monday to Friday from 08:30 to 18:30 Brussels time (except during European Commission public holidays in Belgium as published in the Official Journal). Applicants should take note of the weekly maintenance hours mentioned in the PROSPECT user manual.</w:t>
      </w:r>
    </w:p>
  </w:footnote>
  <w:footnote w:id="3">
    <w:p w14:paraId="68F10709" w14:textId="77777777" w:rsidR="00AD5CC3" w:rsidRDefault="00AD5CC3" w:rsidP="00BD0DE9">
      <w:pPr>
        <w:pStyle w:val="FootnoteText"/>
      </w:pPr>
      <w:r w:rsidRPr="001417D6">
        <w:rPr>
          <w:rStyle w:val="FootnoteReference"/>
          <w:sz w:val="20"/>
        </w:rPr>
        <w:footnoteRef/>
      </w:r>
      <w:r w:rsidRPr="001417D6">
        <w:tab/>
        <w:t xml:space="preserve">An example of a </w:t>
      </w:r>
      <w:r w:rsidRPr="001417D6">
        <w:rPr>
          <w:lang w:val="en-US"/>
        </w:rPr>
        <w:t xml:space="preserve">time converter tool available online: </w:t>
      </w:r>
      <w:hyperlink r:id="rId1" w:history="1">
        <w:r w:rsidRPr="001417D6">
          <w:rPr>
            <w:rStyle w:val="Hyperlink"/>
            <w:lang w:val="en-US"/>
          </w:rPr>
          <w:t>http://www.timeanddate.com/worldclock/converter.html</w:t>
        </w:r>
      </w:hyperlink>
    </w:p>
  </w:footnote>
  <w:footnote w:id="4">
    <w:p w14:paraId="01A7E3CD" w14:textId="77777777" w:rsidR="00AD5CC3" w:rsidRDefault="00AD5CC3" w:rsidP="00BD0DE9">
      <w:pPr>
        <w:pStyle w:val="FootnoteText"/>
      </w:pPr>
      <w:r w:rsidRPr="008F411B">
        <w:rPr>
          <w:rStyle w:val="FootnoteReference"/>
          <w:sz w:val="20"/>
        </w:rPr>
        <w:footnoteRef/>
      </w:r>
      <w:r w:rsidRPr="008F411B">
        <w:tab/>
        <w:t xml:space="preserve">If PROSPECT is unavailable, the IT support can also be reached via email: </w:t>
      </w:r>
      <w:hyperlink r:id="rId2" w:history="1">
        <w:r w:rsidRPr="008F411B">
          <w:rPr>
            <w:rStyle w:val="Hyperlink"/>
            <w:lang w:val="en-IE"/>
          </w:rPr>
          <w:t>ec-external-relations-application-support@ec.europa.eu</w:t>
        </w:r>
      </w:hyperlink>
      <w:r w:rsidRPr="008F411B">
        <w:t>.</w:t>
      </w:r>
      <w:hyperlink r:id="rId3" w:history="1"/>
    </w:p>
  </w:footnote>
  <w:footnote w:id="5">
    <w:p w14:paraId="20DAE8CC" w14:textId="77777777" w:rsidR="00AD5CC3" w:rsidRDefault="00AD5CC3" w:rsidP="006C29F5">
      <w:r w:rsidRPr="14885CA2">
        <w:rPr>
          <w:rStyle w:val="FootnoteReference"/>
        </w:rPr>
        <w:footnoteRef/>
      </w:r>
      <w:r>
        <w:t xml:space="preserve"> </w:t>
      </w:r>
      <w:r w:rsidRPr="00BB5200">
        <w:rPr>
          <w:sz w:val="20"/>
        </w:rPr>
        <w:t xml:space="preserve">According to the joint </w:t>
      </w:r>
      <w:hyperlink r:id="rId4">
        <w:r w:rsidRPr="00BB5200">
          <w:rPr>
            <w:rStyle w:val="Hyperlink"/>
            <w:sz w:val="20"/>
          </w:rPr>
          <w:t>Rapid Damage and Needs Assessment (RDNA4)</w:t>
        </w:r>
      </w:hyperlink>
      <w:r w:rsidRPr="00BB5200">
        <w:rPr>
          <w:sz w:val="20"/>
        </w:rPr>
        <w:t xml:space="preserve"> released by the Government of Ukraine, the World Bank Group, the European Commission, and the United Nations released in February 2025.</w:t>
      </w:r>
    </w:p>
  </w:footnote>
  <w:footnote w:id="6">
    <w:p w14:paraId="09218BDE" w14:textId="77777777" w:rsidR="00AD5CC3" w:rsidRDefault="00AD5CC3" w:rsidP="006C29F5">
      <w:r w:rsidRPr="00BB5200">
        <w:rPr>
          <w:rStyle w:val="FootnoteReference"/>
          <w:sz w:val="20"/>
        </w:rPr>
        <w:footnoteRef/>
      </w:r>
      <w:r w:rsidRPr="00BB5200">
        <w:rPr>
          <w:sz w:val="20"/>
        </w:rPr>
        <w:t xml:space="preserve"> For more information refer to the respective website of DG ENEST: </w:t>
      </w:r>
      <w:hyperlink r:id="rId5">
        <w:r w:rsidRPr="00BB5200">
          <w:rPr>
            <w:rStyle w:val="Hyperlink"/>
            <w:sz w:val="20"/>
          </w:rPr>
          <w:t>https://enlargement.ec.europa.eu/european-neighbourhood-policy/countries-region/ukraine_en</w:t>
        </w:r>
      </w:hyperlink>
      <w:r w:rsidRPr="00BB5200">
        <w:rPr>
          <w:sz w:val="20"/>
        </w:rPr>
        <w:t xml:space="preserve"> </w:t>
      </w:r>
    </w:p>
  </w:footnote>
  <w:footnote w:id="7">
    <w:p w14:paraId="66FF73A3" w14:textId="44902A81" w:rsidR="00AD5CC3" w:rsidRPr="00F60C02" w:rsidRDefault="00AD5CC3" w:rsidP="006C29F5">
      <w:pPr>
        <w:rPr>
          <w:sz w:val="20"/>
        </w:rPr>
      </w:pPr>
      <w:r w:rsidRPr="00F60C02">
        <w:rPr>
          <w:rStyle w:val="FootnoteReference"/>
          <w:sz w:val="20"/>
        </w:rPr>
        <w:footnoteRef/>
      </w:r>
      <w:r w:rsidRPr="00F60C02">
        <w:rPr>
          <w:sz w:val="20"/>
        </w:rPr>
        <w:t xml:space="preserve"> </w:t>
      </w:r>
      <w:hyperlink r:id="rId6" w:history="1">
        <w:r w:rsidR="00F60C02" w:rsidRPr="00F60C02">
          <w:rPr>
            <w:rStyle w:val="Hyperlink"/>
            <w:sz w:val="20"/>
          </w:rPr>
          <w:t>https://enlargement.ec.europa.eu/ukraine-report-2025_en</w:t>
        </w:r>
      </w:hyperlink>
      <w:r w:rsidRPr="00F60C02">
        <w:rPr>
          <w:sz w:val="20"/>
        </w:rPr>
        <w:t xml:space="preserve"> </w:t>
      </w:r>
    </w:p>
  </w:footnote>
  <w:footnote w:id="8">
    <w:p w14:paraId="71042E4F" w14:textId="77777777" w:rsidR="00AD5CC3" w:rsidRDefault="00AD5CC3" w:rsidP="006C29F5">
      <w:pPr>
        <w:spacing w:line="259" w:lineRule="auto"/>
      </w:pPr>
      <w:r w:rsidRPr="00BB5200">
        <w:rPr>
          <w:rStyle w:val="FootnoteReference"/>
          <w:sz w:val="20"/>
        </w:rPr>
        <w:footnoteRef/>
      </w:r>
      <w:r w:rsidRPr="00BB5200">
        <w:rPr>
          <w:sz w:val="20"/>
        </w:rPr>
        <w:t xml:space="preserve"> for </w:t>
      </w:r>
      <w:proofErr w:type="gramStart"/>
      <w:r w:rsidRPr="00BB5200">
        <w:rPr>
          <w:sz w:val="20"/>
        </w:rPr>
        <w:t>example</w:t>
      </w:r>
      <w:proofErr w:type="gramEnd"/>
      <w:r w:rsidRPr="00BB5200">
        <w:rPr>
          <w:sz w:val="20"/>
        </w:rPr>
        <w:t xml:space="preserve"> the National Strategy for the Promotion of Civil Society 2021–2026 </w:t>
      </w:r>
      <w:hyperlink r:id="rId7" w:anchor="Text" w:history="1">
        <w:r w:rsidRPr="00BB5200">
          <w:rPr>
            <w:rStyle w:val="Hyperlink"/>
            <w:sz w:val="20"/>
          </w:rPr>
          <w:t>https://zakon.rada.gov.ua/laws/show/487/2021#Text</w:t>
        </w:r>
      </w:hyperlink>
      <w:r w:rsidRPr="00BB5200">
        <w:rPr>
          <w:sz w:val="20"/>
        </w:rPr>
        <w:t xml:space="preserve"> </w:t>
      </w:r>
    </w:p>
  </w:footnote>
  <w:footnote w:id="9">
    <w:p w14:paraId="4871790C" w14:textId="695F263B" w:rsidR="00AD5CC3" w:rsidRDefault="00AD5CC3" w:rsidP="00BD0DE9">
      <w:pPr>
        <w:pStyle w:val="FootnoteText"/>
      </w:pPr>
      <w:r>
        <w:rPr>
          <w:rStyle w:val="FootnoteReference"/>
        </w:rPr>
        <w:footnoteRef/>
      </w:r>
      <w:r>
        <w:t xml:space="preserve"> </w:t>
      </w:r>
      <w:hyperlink r:id="rId8" w:history="1">
        <w:r w:rsidR="00DB1AE6" w:rsidRPr="00DB1AE6">
          <w:rPr>
            <w:rStyle w:val="Hyperlink"/>
          </w:rPr>
          <w:t>https://enlargement.ec.europa.eu/ukraine-report-2025_en</w:t>
        </w:r>
      </w:hyperlink>
      <w:r>
        <w:t xml:space="preserve"> </w:t>
      </w:r>
    </w:p>
  </w:footnote>
  <w:footnote w:id="10">
    <w:p w14:paraId="443D8E03" w14:textId="77777777" w:rsidR="00AD5CC3" w:rsidRDefault="00AD5CC3" w:rsidP="006C29F5">
      <w:r w:rsidRPr="00BB5200">
        <w:rPr>
          <w:rStyle w:val="FootnoteReference"/>
          <w:sz w:val="20"/>
        </w:rPr>
        <w:footnoteRef/>
      </w:r>
      <w:r w:rsidRPr="00BB5200">
        <w:rPr>
          <w:sz w:val="20"/>
        </w:rPr>
        <w:t xml:space="preserve"> DG NEAR Guidelines for EU Support to Civil Society in the Enlargement Region 2021 - even though elaborated before Ukraine received candidate status and therefore without participation of Ukrainian civil society - provide the main framework and standards underpinning the cooperation of the EU with </w:t>
      </w:r>
      <w:proofErr w:type="spellStart"/>
      <w:r w:rsidRPr="00BB5200">
        <w:rPr>
          <w:sz w:val="20"/>
        </w:rPr>
        <w:t>CSOs</w:t>
      </w:r>
      <w:proofErr w:type="spellEnd"/>
      <w:r w:rsidRPr="00BB5200">
        <w:rPr>
          <w:sz w:val="20"/>
        </w:rPr>
        <w:t xml:space="preserve"> in the enlargement countries and are drafted for enhancing EU support to civil society across the enlargement region, particularly targeting EU staff, civil society organizations, and policymakers. </w:t>
      </w:r>
      <w:hyperlink r:id="rId9" w:history="1">
        <w:r w:rsidRPr="00BB5200">
          <w:rPr>
            <w:rStyle w:val="Hyperlink"/>
            <w:sz w:val="20"/>
          </w:rPr>
          <w:t>https://enlargement.ec.europa.eu/dg-near-guidelines-eu-support-civil-society-enlargement-region-2021-2027_en</w:t>
        </w:r>
      </w:hyperlink>
      <w:r w:rsidRPr="00BB5200">
        <w:rPr>
          <w:sz w:val="20"/>
        </w:rPr>
        <w:t xml:space="preserve"> </w:t>
      </w:r>
    </w:p>
  </w:footnote>
  <w:footnote w:id="11">
    <w:p w14:paraId="087DDBF7" w14:textId="77777777" w:rsidR="00AD5CC3" w:rsidRDefault="00AD5CC3" w:rsidP="00BD0DE9">
      <w:pPr>
        <w:pStyle w:val="FootnoteText"/>
      </w:pPr>
      <w:r w:rsidRPr="00BB5200">
        <w:rPr>
          <w:rStyle w:val="FootnoteReference"/>
          <w:sz w:val="20"/>
        </w:rPr>
        <w:footnoteRef/>
      </w:r>
      <w:r w:rsidRPr="00BB5200">
        <w:t xml:space="preserve"> https://www.eeas.europa.eu/eeas/gender-action-plan-iii-its-key-areas-eu-engagement_en</w:t>
      </w:r>
    </w:p>
  </w:footnote>
  <w:footnote w:id="12">
    <w:p w14:paraId="5F6C4229" w14:textId="77777777" w:rsidR="00AD5CC3" w:rsidRDefault="00AD5CC3" w:rsidP="00BD0DE9">
      <w:pPr>
        <w:pStyle w:val="FootnoteText"/>
      </w:pPr>
      <w:r w:rsidRPr="00BB5200">
        <w:rPr>
          <w:rStyle w:val="FootnoteReference"/>
          <w:sz w:val="20"/>
        </w:rPr>
        <w:footnoteRef/>
      </w:r>
      <w:r w:rsidRPr="00BB5200">
        <w:t xml:space="preserve"> </w:t>
      </w:r>
      <w:hyperlink r:id="rId10" w:history="1">
        <w:r w:rsidRPr="00BB5200">
          <w:rPr>
            <w:rStyle w:val="Hyperlink"/>
          </w:rPr>
          <w:t>https://euneighbourseast.eu/wp-content/uploads/2023/09/eu4genderhelpdesk_ukrainegenderprofile_2023-cgp_v3.pdf</w:t>
        </w:r>
      </w:hyperlink>
      <w:r w:rsidRPr="00BB5200">
        <w:t xml:space="preserve"> </w:t>
      </w:r>
    </w:p>
  </w:footnote>
  <w:footnote w:id="13">
    <w:p w14:paraId="5732F7E9" w14:textId="77777777" w:rsidR="00AD5CC3" w:rsidRDefault="00AD5CC3" w:rsidP="00BD0DE9">
      <w:pPr>
        <w:pStyle w:val="FootnoteText"/>
      </w:pPr>
      <w:r w:rsidRPr="00BB5200">
        <w:rPr>
          <w:rStyle w:val="FootnoteReference"/>
          <w:sz w:val="20"/>
        </w:rPr>
        <w:footnoteRef/>
      </w:r>
      <w:r w:rsidRPr="00BB5200">
        <w:t xml:space="preserve"> </w:t>
      </w:r>
      <w:hyperlink r:id="rId11" w:history="1">
        <w:r w:rsidRPr="00BB5200">
          <w:rPr>
            <w:rStyle w:val="Hyperlink"/>
          </w:rPr>
          <w:t>https://capacity4dev.europa.eu/groups/country-level-implementation-plans-clips-gender/info_en</w:t>
        </w:r>
      </w:hyperlink>
      <w:r>
        <w:t xml:space="preserve"> </w:t>
      </w:r>
    </w:p>
  </w:footnote>
  <w:footnote w:id="14">
    <w:p w14:paraId="595D7764" w14:textId="77777777" w:rsidR="00AD5CC3" w:rsidRDefault="00AD5CC3" w:rsidP="00BD0DE9">
      <w:pPr>
        <w:pStyle w:val="FootnoteText"/>
      </w:pPr>
      <w:r>
        <w:rPr>
          <w:rStyle w:val="FootnoteReference"/>
        </w:rPr>
        <w:footnoteRef/>
      </w:r>
      <w:r>
        <w:t xml:space="preserve"> </w:t>
      </w:r>
      <w:hyperlink r:id="rId12" w:history="1">
        <w:r w:rsidRPr="00EF25F8">
          <w:rPr>
            <w:rStyle w:val="Hyperlink"/>
          </w:rPr>
          <w:t>https://www.eeas.europa.eu/sites/default/files/documents/2024/Action-Plan-EN_2020-2027.pdf</w:t>
        </w:r>
      </w:hyperlink>
      <w:r>
        <w:t xml:space="preserve"> and </w:t>
      </w:r>
      <w:hyperlink r:id="rId13" w:anchor="related-documents" w:history="1">
        <w:r w:rsidRPr="00EF25F8">
          <w:rPr>
            <w:rStyle w:val="Hyperlink"/>
          </w:rPr>
          <w:t>https://international-partnerships.ec.europa.eu/policies/peace-and-governance/human-rights_en#related-documents</w:t>
        </w:r>
      </w:hyperlink>
      <w:r>
        <w:t xml:space="preserve"> </w:t>
      </w:r>
    </w:p>
  </w:footnote>
  <w:footnote w:id="15">
    <w:p w14:paraId="71BA17AF" w14:textId="77777777" w:rsidR="00AD5CC3" w:rsidRDefault="00AD5CC3" w:rsidP="006C29F5">
      <w:r w:rsidRPr="00BB5200">
        <w:rPr>
          <w:rStyle w:val="FootnoteReference"/>
          <w:sz w:val="20"/>
        </w:rPr>
        <w:footnoteRef/>
      </w:r>
      <w:r w:rsidRPr="00BB5200">
        <w:rPr>
          <w:sz w:val="20"/>
        </w:rPr>
        <w:t xml:space="preserve"> </w:t>
      </w:r>
      <w:hyperlink r:id="rId14">
        <w:r w:rsidRPr="00BB5200">
          <w:rPr>
            <w:rStyle w:val="Hyperlink"/>
            <w:sz w:val="20"/>
          </w:rPr>
          <w:t>https://eur-lex.europa.eu/eli/reg/2024/792/oj/eng</w:t>
        </w:r>
      </w:hyperlink>
      <w:r w:rsidRPr="00BB5200">
        <w:rPr>
          <w:sz w:val="20"/>
        </w:rPr>
        <w:t xml:space="preserve"> REGULATION (EU) 2024/792 OF THE EUROPEAN PARLIAMENT AND OF THE COUNCIL of 29 February 2024 establishing the Ukraine Facility</w:t>
      </w:r>
      <w:r>
        <w:rPr>
          <w:sz w:val="20"/>
        </w:rPr>
        <w:t xml:space="preserve">. </w:t>
      </w:r>
      <w:r w:rsidRPr="00AF7BC1">
        <w:rPr>
          <w:b/>
          <w:sz w:val="20"/>
        </w:rPr>
        <w:t>Applicants should carefully check the eligibility rules of the Ukraine Facility, see section 2.1.4 of these guidelines for more information</w:t>
      </w:r>
      <w:r>
        <w:rPr>
          <w:sz w:val="20"/>
        </w:rPr>
        <w:t>.</w:t>
      </w:r>
    </w:p>
  </w:footnote>
  <w:footnote w:id="16">
    <w:p w14:paraId="0B2B850C" w14:textId="77777777" w:rsidR="00AD5CC3" w:rsidRDefault="00AD5CC3" w:rsidP="00BA548A">
      <w:r w:rsidRPr="00BA548A">
        <w:rPr>
          <w:rStyle w:val="FootnoteReference"/>
          <w:sz w:val="20"/>
        </w:rPr>
        <w:footnoteRef/>
      </w:r>
      <w:r w:rsidRPr="00BA548A">
        <w:rPr>
          <w:sz w:val="20"/>
        </w:rPr>
        <w:t xml:space="preserve"> </w:t>
      </w:r>
      <w:hyperlink r:id="rId15" w:history="1">
        <w:r w:rsidRPr="00EF25F8">
          <w:rPr>
            <w:rStyle w:val="Hyperlink"/>
            <w:sz w:val="20"/>
          </w:rPr>
          <w:t>https://capacity4dev.europa.eu/library/human-rights-based-approach-hrba-toolbox_en</w:t>
        </w:r>
      </w:hyperlink>
      <w:r>
        <w:rPr>
          <w:sz w:val="20"/>
        </w:rPr>
        <w:t xml:space="preserve"> </w:t>
      </w:r>
    </w:p>
  </w:footnote>
  <w:footnote w:id="17">
    <w:p w14:paraId="1F9BC333" w14:textId="77777777" w:rsidR="00AD5CC3" w:rsidRDefault="00AD5CC3" w:rsidP="00CC078B">
      <w:r w:rsidRPr="00BA548A">
        <w:rPr>
          <w:rStyle w:val="FootnoteReference"/>
          <w:sz w:val="20"/>
        </w:rPr>
        <w:footnoteRef/>
      </w:r>
      <w:r w:rsidRPr="00BA548A">
        <w:rPr>
          <w:sz w:val="20"/>
        </w:rPr>
        <w:t xml:space="preserve"> </w:t>
      </w:r>
      <w:hyperlink r:id="rId16">
        <w:r w:rsidRPr="00BA548A">
          <w:rPr>
            <w:rStyle w:val="Hyperlink"/>
            <w:sz w:val="20"/>
          </w:rPr>
          <w:t>https://capacity4dev.europa.eu/resources/results-indicators/core-indicators-design-and-monitoring-eu-funded-interventions_en</w:t>
        </w:r>
      </w:hyperlink>
      <w:r>
        <w:t xml:space="preserve"> </w:t>
      </w:r>
    </w:p>
  </w:footnote>
  <w:footnote w:id="18">
    <w:p w14:paraId="359C4AF4" w14:textId="77777777" w:rsidR="00AD5CC3" w:rsidRDefault="00AD5CC3" w:rsidP="00CC078B">
      <w:r w:rsidRPr="3E9E8432">
        <w:rPr>
          <w:rStyle w:val="FootnoteReference"/>
        </w:rPr>
        <w:footnoteRef/>
      </w:r>
      <w:r>
        <w:t xml:space="preserve"> https://capacity4dev.europa.eu/resources/results-indicators/global-europe-results-framework_en</w:t>
      </w:r>
    </w:p>
  </w:footnote>
  <w:footnote w:id="19">
    <w:p w14:paraId="47F43ACC" w14:textId="77777777" w:rsidR="00AD5CC3" w:rsidRDefault="00AD5CC3" w:rsidP="00BD0DE9">
      <w:pPr>
        <w:pStyle w:val="FootnoteText"/>
      </w:pPr>
      <w:r w:rsidRPr="008F411B">
        <w:rPr>
          <w:rStyle w:val="FootnoteReference"/>
          <w:sz w:val="20"/>
        </w:rPr>
        <w:footnoteRef/>
      </w:r>
      <w:r>
        <w:tab/>
      </w:r>
      <w:r w:rsidRPr="008F411B">
        <w:t xml:space="preserve">For the avoidance of doubt, </w:t>
      </w:r>
      <w:r w:rsidRPr="008F411B">
        <w:rPr>
          <w:lang w:val="en-IE"/>
        </w:rPr>
        <w:t>non-governmental organisation means a voluntary, independent from government, non-profit organisation, which is not a political party or a trade union (Article 2(48) FR).</w:t>
      </w:r>
    </w:p>
  </w:footnote>
  <w:footnote w:id="20">
    <w:p w14:paraId="05CE2257" w14:textId="73815539" w:rsidR="007577E1" w:rsidRDefault="00AD5CC3" w:rsidP="007577E1">
      <w:pPr>
        <w:pStyle w:val="FootnoteText"/>
        <w:jc w:val="both"/>
      </w:pPr>
      <w:r w:rsidRPr="008F411B">
        <w:rPr>
          <w:vertAlign w:val="superscript"/>
        </w:rPr>
        <w:footnoteRef/>
      </w:r>
      <w:r>
        <w:tab/>
      </w:r>
      <w:r w:rsidRPr="008F411B">
        <w:t xml:space="preserve">To be determined </w:t>
      </w:r>
      <w:proofErr w:type="gramStart"/>
      <w:r w:rsidRPr="008F411B">
        <w:t>on the basis of</w:t>
      </w:r>
      <w:proofErr w:type="gramEnd"/>
      <w:r w:rsidRPr="008F411B">
        <w:t xml:space="preserve"> the organisation’s statutes, which should demonstrate that it has been established by an instrument governed by the national law of the country concerned and that its head office </w:t>
      </w:r>
      <w:proofErr w:type="gramStart"/>
      <w:r w:rsidRPr="008F411B">
        <w:t>is located in</w:t>
      </w:r>
      <w:proofErr w:type="gramEnd"/>
      <w:r w:rsidRPr="008F411B">
        <w:t xml:space="preserve"> an eligible country. In this respect, any legal entity whose statutes have been established in another country cannot be considered an eligible local organisation, even if the statutes are registered locally or a ‘Memorandum of Understanding’ has been concluded. </w:t>
      </w:r>
      <w:r w:rsidR="007577E1" w:rsidRPr="003E59E4">
        <w:t xml:space="preserve">Ukraine Facility available in footnote 14: Participation in procurement and in grant and prize award procedures for activities financed under the Facility shall be open to </w:t>
      </w:r>
      <w:r w:rsidR="007577E1" w:rsidRPr="00F26E80">
        <w:t>international and regional organisations</w:t>
      </w:r>
      <w:r w:rsidR="007577E1" w:rsidRPr="003E59E4">
        <w:t xml:space="preserve"> and to all</w:t>
      </w:r>
      <w:r w:rsidR="007577E1" w:rsidRPr="00F26E80">
        <w:t xml:space="preserve"> natural persons </w:t>
      </w:r>
      <w:r w:rsidR="007577E1" w:rsidRPr="003E59E4">
        <w:t xml:space="preserve">who are nationals of, or </w:t>
      </w:r>
      <w:r w:rsidR="007577E1" w:rsidRPr="00F26E80">
        <w:t xml:space="preserve">legal persons </w:t>
      </w:r>
      <w:r w:rsidR="007577E1" w:rsidRPr="003E59E4">
        <w:t xml:space="preserve">effectively </w:t>
      </w:r>
      <w:r w:rsidR="007577E1" w:rsidRPr="00F26E80">
        <w:t>established in a Member State of the European Union, Ukraine, Albania, Bosnia and Herzegovina, Kosovo</w:t>
      </w:r>
      <w:r w:rsidR="007577E1" w:rsidRPr="00F26E80">
        <w:rPr>
          <w:u w:val="single"/>
        </w:rPr>
        <w:t>[1]</w:t>
      </w:r>
      <w:r w:rsidR="007577E1" w:rsidRPr="00F26E80">
        <w:t>, Montenegro, North Macedonia, Serbia, Georgia, Moldova and contracting parties to the European Economic Area (EEA</w:t>
      </w:r>
      <w:r w:rsidR="007577E1">
        <w:t xml:space="preserve"> : </w:t>
      </w:r>
      <w:r w:rsidR="007577E1" w:rsidRPr="003E59E4">
        <w:t>Iceland, Liechtenstein and Norway</w:t>
      </w:r>
      <w:r w:rsidR="007577E1" w:rsidRPr="00F26E80">
        <w:t xml:space="preserve">). </w:t>
      </w:r>
      <w:r w:rsidR="007577E1" w:rsidRPr="00F26E80">
        <w:br/>
      </w:r>
      <w:r w:rsidR="007577E1" w:rsidRPr="003E59E4">
        <w:rPr>
          <w:u w:val="single"/>
        </w:rPr>
        <w:t>[1]</w:t>
      </w:r>
      <w:r w:rsidR="007577E1" w:rsidRPr="003E59E4">
        <w:t xml:space="preserve"> This designation is without prejudice to positions on status and is in line with UNSCR 1244/1999 and the ICJ Opinion on the Kosovo declaration of independence. </w:t>
      </w:r>
    </w:p>
    <w:p w14:paraId="50080B18" w14:textId="77777777" w:rsidR="007577E1" w:rsidRPr="005F330E" w:rsidRDefault="007577E1" w:rsidP="007577E1">
      <w:pPr>
        <w:pStyle w:val="FootnoteText"/>
      </w:pPr>
      <w:r>
        <w:tab/>
        <w:t xml:space="preserve">Additional details in Article 5 of annex a2a1 of the PRAG - </w:t>
      </w:r>
      <w:hyperlink r:id="rId17" w:history="1">
        <w:r w:rsidRPr="005F330E">
          <w:rPr>
            <w:rStyle w:val="Hyperlink"/>
          </w:rPr>
          <w:t>a2a1_ecprogrammes_eligibility2021_2027_en.docx</w:t>
        </w:r>
      </w:hyperlink>
    </w:p>
    <w:p w14:paraId="5F9E66FE" w14:textId="77777777" w:rsidR="007577E1" w:rsidRPr="00A27D7F" w:rsidRDefault="007577E1" w:rsidP="007577E1">
      <w:pPr>
        <w:pStyle w:val="FootnoteText"/>
      </w:pPr>
      <w:r>
        <w:tab/>
      </w:r>
      <w:r w:rsidRPr="00A27D7F">
        <w:t>I</w:t>
      </w:r>
      <w:r>
        <w:t>f</w:t>
      </w:r>
      <w:r w:rsidRPr="00A27D7F">
        <w:t xml:space="preserve"> during </w:t>
      </w:r>
      <w:r>
        <w:t xml:space="preserve">the grant award procedure, a </w:t>
      </w:r>
      <w:r w:rsidRPr="00A27D7F">
        <w:t>country w</w:t>
      </w:r>
      <w:r>
        <w:t>ould</w:t>
      </w:r>
      <w:r w:rsidRPr="00A27D7F">
        <w:t xml:space="preserve"> become </w:t>
      </w:r>
      <w:r>
        <w:t xml:space="preserve">eligible under article </w:t>
      </w:r>
      <w:r w:rsidRPr="00A27D7F">
        <w:t>11.1.b</w:t>
      </w:r>
      <w:r>
        <w:t xml:space="preserve"> of the Ukraine facility, this w</w:t>
      </w:r>
      <w:r w:rsidRPr="00A27D7F">
        <w:t xml:space="preserve">ill be communicated </w:t>
      </w:r>
      <w:r>
        <w:t xml:space="preserve">to the applicants. </w:t>
      </w:r>
    </w:p>
    <w:p w14:paraId="7F807ADF" w14:textId="5AE1FEDB" w:rsidR="00AD5CC3" w:rsidRDefault="00AD5CC3" w:rsidP="00BD0DE9">
      <w:pPr>
        <w:pStyle w:val="FootnoteText"/>
      </w:pPr>
    </w:p>
  </w:footnote>
  <w:footnote w:id="21">
    <w:p w14:paraId="7EF6CA3F" w14:textId="77777777" w:rsidR="00AD5CC3" w:rsidRDefault="00AD5CC3">
      <w:pPr>
        <w:pStyle w:val="FootnoteText"/>
      </w:pPr>
      <w:r>
        <w:rPr>
          <w:rStyle w:val="FootnoteReference"/>
        </w:rPr>
        <w:footnoteRef/>
      </w:r>
      <w:r>
        <w:t xml:space="preserve">  </w:t>
      </w:r>
      <w:r w:rsidRPr="003E78E4">
        <w:t>LGBTIQ</w:t>
      </w:r>
      <w:r>
        <w:t xml:space="preserve"> refers to L</w:t>
      </w:r>
      <w:r w:rsidRPr="003E78E4">
        <w:t xml:space="preserve">esbian, gay, bisexual, trans, non-binary, intersex and </w:t>
      </w:r>
      <w:proofErr w:type="gramStart"/>
      <w:r w:rsidRPr="003E78E4">
        <w:t>queer  people</w:t>
      </w:r>
      <w:proofErr w:type="gramEnd"/>
    </w:p>
  </w:footnote>
  <w:footnote w:id="22">
    <w:p w14:paraId="5CB9E239" w14:textId="77777777" w:rsidR="00AD5CC3" w:rsidRDefault="00AD5CC3" w:rsidP="00BD0DE9">
      <w:pPr>
        <w:pStyle w:val="FootnoteText"/>
      </w:pPr>
      <w:r>
        <w:rPr>
          <w:rStyle w:val="FootnoteReference"/>
        </w:rPr>
        <w:footnoteRef/>
      </w:r>
      <w:r>
        <w:t xml:space="preserve"> </w:t>
      </w:r>
      <w:r w:rsidRPr="004E1BAD">
        <w:t>The EU Youth strategy generally refers to individuals within the age range of 15 to 29 years old.</w:t>
      </w:r>
    </w:p>
  </w:footnote>
  <w:footnote w:id="23">
    <w:p w14:paraId="622890FA" w14:textId="77777777" w:rsidR="00AD5CC3" w:rsidRDefault="00AD5CC3" w:rsidP="00BD0DE9">
      <w:pPr>
        <w:pStyle w:val="FootnoteText"/>
      </w:pPr>
      <w:r w:rsidRPr="001417D6">
        <w:rPr>
          <w:rStyle w:val="FootnoteReference"/>
          <w:sz w:val="20"/>
        </w:rPr>
        <w:footnoteRef/>
      </w:r>
      <w:r w:rsidRPr="001417D6">
        <w:tab/>
        <w:t>As per OECD DAC definition, the term ‘results’ includes: ‘impact’ (overall objective), ‘outcome(s)’ (specific objective(s) and ‘output(s)’.</w:t>
      </w:r>
    </w:p>
  </w:footnote>
  <w:footnote w:id="24">
    <w:p w14:paraId="337C6F31" w14:textId="7DAECE03" w:rsidR="00EC27B0" w:rsidRPr="00775E7B" w:rsidRDefault="00AD5CC3" w:rsidP="00EC27B0">
      <w:pPr>
        <w:pStyle w:val="FootnoteText"/>
        <w:numPr>
          <w:ilvl w:val="0"/>
          <w:numId w:val="31"/>
        </w:numPr>
        <w:jc w:val="both"/>
      </w:pPr>
      <w:r>
        <w:rPr>
          <w:rStyle w:val="FootnoteReference"/>
        </w:rPr>
        <w:footnoteRef/>
      </w:r>
      <w:r>
        <w:t xml:space="preserve"> CONTRACT PROCEDURES FOR EUROPEAN UNION EXTERNAL ACTION,  A practical guide, section 2.3: </w:t>
      </w:r>
      <w:hyperlink r:id="rId18" w:anchor="_aWQtMi5CYXNpY3J1bGVzLSNfVG9jMi4zLjIuMy5QYXJ0aWNpcGF0aW9uaW5hd2FyZHByb2NlZHVyZXM" w:history="1">
        <w:r w:rsidR="00EC27B0" w:rsidRPr="002A4120">
          <w:rPr>
            <w:rStyle w:val="Hyperlink"/>
          </w:rPr>
          <w:t>https://wikis.ec.europa.eu/spaces/ExactExternalWiki/pages/152798613/2.+Basic+rules#_aWQtMi5CYXNpY3J1bGVzLSNfVG9jMi4zLjIuMy5QYXJ0aWNpcGF0aW9uaW5hd2FyZHByb2NlZHVyZXM</w:t>
        </w:r>
      </w:hyperlink>
      <w:r>
        <w:t xml:space="preserve"> </w:t>
      </w:r>
      <w:r w:rsidR="00EC27B0">
        <w:t xml:space="preserve">- </w:t>
      </w:r>
      <w:r w:rsidR="00EC27B0" w:rsidRPr="00775E7B">
        <w:t xml:space="preserve">All supplies </w:t>
      </w:r>
      <w:r w:rsidR="00EC27B0" w:rsidRPr="00487F16">
        <w:t xml:space="preserve">and materials financed under this Instrument shall originate </w:t>
      </w:r>
      <w:r w:rsidR="00EC27B0" w:rsidRPr="00F26E80">
        <w:t>from</w:t>
      </w:r>
      <w:r w:rsidR="00EC27B0" w:rsidRPr="00487F16">
        <w:t xml:space="preserve"> any country referred to in</w:t>
      </w:r>
      <w:r w:rsidR="00EC27B0" w:rsidRPr="00F26E80">
        <w:t xml:space="preserve"> Article 11.1 (a) and (b)</w:t>
      </w:r>
      <w:r w:rsidR="00EC27B0" w:rsidRPr="00487F16">
        <w:t xml:space="preserve"> of the Ukraine Facility (unless those supplies and materials </w:t>
      </w:r>
      <w:r w:rsidR="00EC27B0" w:rsidRPr="00F26E80">
        <w:t>cannot be sourced under reasonable conditions</w:t>
      </w:r>
      <w:r w:rsidR="00EC27B0" w:rsidRPr="00487F16">
        <w:t xml:space="preserve"> </w:t>
      </w:r>
      <w:r w:rsidR="00EC27B0" w:rsidRPr="00F26E80">
        <w:t xml:space="preserve">in any of those countries. </w:t>
      </w:r>
      <w:r w:rsidR="00EC27B0" w:rsidRPr="00F26E80">
        <w:rPr>
          <w:u w:val="single"/>
        </w:rPr>
        <w:t>In addition</w:t>
      </w:r>
      <w:r w:rsidR="00EC27B0" w:rsidRPr="00487F16">
        <w:t xml:space="preserve">, the rules on </w:t>
      </w:r>
      <w:r w:rsidR="00EC27B0" w:rsidRPr="00F26E80">
        <w:t xml:space="preserve">restrictions in Article 11.7 </w:t>
      </w:r>
      <w:r w:rsidR="00EC27B0" w:rsidRPr="00487F16">
        <w:t xml:space="preserve">apply. Moreover, </w:t>
      </w:r>
      <w:r w:rsidR="00EC27B0">
        <w:t>d</w:t>
      </w:r>
      <w:r w:rsidR="00EC27B0" w:rsidRPr="00F26E80">
        <w:t>etailed reporting and prior authorisation is required</w:t>
      </w:r>
      <w:r w:rsidR="00EC27B0">
        <w:t xml:space="preserve">) </w:t>
      </w:r>
      <w:r w:rsidR="00EC27B0" w:rsidRPr="00487F16">
        <w:t>For additional information, please also refer to annex a2a1 of the PRAG</w:t>
      </w:r>
    </w:p>
    <w:p w14:paraId="494EB2B8" w14:textId="47C2726F" w:rsidR="00AD5CC3" w:rsidRDefault="00AD5CC3" w:rsidP="00BD0DE9">
      <w:pPr>
        <w:pStyle w:val="FootnoteText"/>
      </w:pPr>
    </w:p>
  </w:footnote>
  <w:footnote w:id="25">
    <w:p w14:paraId="6B2B05E6" w14:textId="77777777" w:rsidR="00AD5CC3" w:rsidRDefault="00AD5CC3" w:rsidP="00BD0DE9">
      <w:pPr>
        <w:pStyle w:val="FootnoteText"/>
      </w:pPr>
      <w:r w:rsidRPr="001417D6">
        <w:rPr>
          <w:rStyle w:val="FootnoteReference"/>
          <w:sz w:val="20"/>
        </w:rPr>
        <w:footnoteRef/>
      </w:r>
      <w:r>
        <w:tab/>
      </w:r>
      <w:r w:rsidRPr="001417D6">
        <w:t xml:space="preserve">Please note that where volunteer costs are accepted as co-financing, it shall be determined on the basis of the unit cost per volunteer per day as defined and authorised by the European Commission at the following address: </w:t>
      </w:r>
      <w:hyperlink r:id="rId19" w:history="1">
        <w:r w:rsidRPr="001417D6">
          <w:rPr>
            <w:rStyle w:val="Hyperlink"/>
          </w:rPr>
          <w:t>https://ec.europa.eu/info/funding-tenders/opportunities/docs/2021-2027/common/guidance/unit-cost-decision</w:t>
        </w:r>
      </w:hyperlink>
      <w:r w:rsidRPr="001417D6">
        <w:t>.</w:t>
      </w:r>
    </w:p>
  </w:footnote>
  <w:footnote w:id="26">
    <w:p w14:paraId="6C8E2636" w14:textId="77777777" w:rsidR="00AD5CC3" w:rsidRDefault="00AD5CC3" w:rsidP="00BD0DE9">
      <w:pPr>
        <w:pStyle w:val="FootnoteText"/>
      </w:pPr>
      <w:r w:rsidRPr="001417D6">
        <w:rPr>
          <w:rStyle w:val="FootnoteReference"/>
          <w:sz w:val="20"/>
        </w:rPr>
        <w:footnoteRef/>
      </w:r>
      <w:r>
        <w:tab/>
      </w:r>
      <w:r w:rsidRPr="001417D6">
        <w:t xml:space="preserve">Natural persons who apply for a grant (if </w:t>
      </w:r>
      <w:proofErr w:type="gramStart"/>
      <w:r w:rsidRPr="001417D6">
        <w:t>so</w:t>
      </w:r>
      <w:proofErr w:type="gramEnd"/>
      <w:r w:rsidRPr="001417D6">
        <w:t xml:space="preserve"> allowed in the guidelines) do not have to register in </w:t>
      </w:r>
      <w:proofErr w:type="spellStart"/>
      <w:r w:rsidRPr="001417D6">
        <w:t>PADOR</w:t>
      </w:r>
      <w:proofErr w:type="spellEnd"/>
      <w:r w:rsidRPr="001417D6">
        <w:t>. In this case, the information included in PROSPECT and in the concept note is sufficient.</w:t>
      </w:r>
    </w:p>
  </w:footnote>
  <w:footnote w:id="27">
    <w:p w14:paraId="245CE7EB" w14:textId="77777777" w:rsidR="00AD5CC3" w:rsidRDefault="00AD5CC3" w:rsidP="00BD0DE9">
      <w:pPr>
        <w:pStyle w:val="FootnoteText"/>
      </w:pPr>
      <w:r w:rsidRPr="001D7ABB">
        <w:rPr>
          <w:vertAlign w:val="superscript"/>
        </w:rPr>
        <w:footnoteRef/>
      </w:r>
      <w:r>
        <w:tab/>
      </w:r>
      <w:r w:rsidRPr="001D7ABB">
        <w:t xml:space="preserve">Which corresponds to Annex F – </w:t>
      </w:r>
      <w:proofErr w:type="spellStart"/>
      <w:r w:rsidRPr="001D7ABB">
        <w:t>PADOR</w:t>
      </w:r>
      <w:proofErr w:type="spellEnd"/>
      <w:r w:rsidRPr="001D7ABB">
        <w:t xml:space="preserve"> off-line form (</w:t>
      </w:r>
      <w:r>
        <w:t>Practical guide,</w:t>
      </w:r>
      <w:r w:rsidRPr="001D7ABB">
        <w:t xml:space="preserve"> </w:t>
      </w:r>
      <w:r>
        <w:t>A</w:t>
      </w:r>
      <w:r w:rsidRPr="001D7ABB">
        <w:t>nnex e13).</w:t>
      </w:r>
    </w:p>
  </w:footnote>
  <w:footnote w:id="28">
    <w:p w14:paraId="1B39F76B" w14:textId="77777777" w:rsidR="00AD5CC3" w:rsidRDefault="00AD5CC3" w:rsidP="00BD0DE9">
      <w:pPr>
        <w:pStyle w:val="FootnoteText"/>
      </w:pPr>
      <w:r w:rsidRPr="001417D6">
        <w:rPr>
          <w:rStyle w:val="FootnoteReference"/>
          <w:sz w:val="20"/>
        </w:rPr>
        <w:footnoteRef/>
      </w:r>
      <w:r>
        <w:tab/>
      </w:r>
      <w:r w:rsidRPr="001417D6">
        <w:t xml:space="preserve">Natural persons who apply for a grant (if </w:t>
      </w:r>
      <w:proofErr w:type="gramStart"/>
      <w:r w:rsidRPr="001417D6">
        <w:t>so</w:t>
      </w:r>
      <w:proofErr w:type="gramEnd"/>
      <w:r w:rsidRPr="001417D6">
        <w:t xml:space="preserve"> allowed in the guidelines for applicants) do not have to provide an organisation data form. In this case, the information included in the grant application form is sufficient.</w:t>
      </w:r>
    </w:p>
  </w:footnote>
  <w:footnote w:id="29">
    <w:p w14:paraId="19D57D92" w14:textId="77777777" w:rsidR="00AD5CC3" w:rsidRDefault="00AD5CC3" w:rsidP="00BD0DE9">
      <w:pPr>
        <w:pStyle w:val="FootnoteText"/>
      </w:pPr>
      <w:r w:rsidRPr="001417D6">
        <w:rPr>
          <w:rStyle w:val="FootnoteReference"/>
          <w:sz w:val="20"/>
        </w:rPr>
        <w:footnoteRef/>
      </w:r>
      <w:r>
        <w:tab/>
      </w:r>
      <w:r w:rsidRPr="001417D6">
        <w:rPr>
          <w:lang w:val="en-IE"/>
        </w:rPr>
        <w:t>No supporting documents will be requested for applications for a grant not exceeding EUR 60 000,</w:t>
      </w:r>
      <w:r w:rsidRPr="001417D6">
        <w:t xml:space="preserve"> or the following categories of lead applicants: (</w:t>
      </w:r>
      <w:proofErr w:type="spellStart"/>
      <w:r w:rsidRPr="001417D6">
        <w:t>i</w:t>
      </w:r>
      <w:proofErr w:type="spellEnd"/>
      <w:r w:rsidRPr="001417D6">
        <w:t>) natural persons in receipt of education support (ii) natural persons most in need, such as unemployed and refugees, and in receipt of direct support (iii) public bodies, including Member State organisations (iv) international organisations.</w:t>
      </w:r>
      <w:r w:rsidRPr="001417D6">
        <w:rPr>
          <w:lang w:val="en-IE"/>
        </w:rPr>
        <w:t xml:space="preserve"> </w:t>
      </w:r>
    </w:p>
  </w:footnote>
  <w:footnote w:id="30">
    <w:p w14:paraId="2E3EF845" w14:textId="77777777" w:rsidR="00AD5CC3" w:rsidRDefault="00AD5CC3" w:rsidP="00BD0DE9">
      <w:pPr>
        <w:pStyle w:val="FootnoteText"/>
      </w:pPr>
      <w:r w:rsidRPr="001417D6">
        <w:rPr>
          <w:rStyle w:val="FootnoteReference"/>
          <w:sz w:val="20"/>
        </w:rPr>
        <w:footnoteRef/>
      </w:r>
      <w:r>
        <w:tab/>
      </w:r>
      <w:r w:rsidRPr="001417D6">
        <w:t>Please note that only the QES within the meaning of Regulation (EU) No 910/2014 (</w:t>
      </w:r>
      <w:proofErr w:type="spellStart"/>
      <w:r w:rsidRPr="001417D6">
        <w:t>eIDAS</w:t>
      </w:r>
      <w:proofErr w:type="spellEnd"/>
      <w:r w:rsidRPr="001417D6">
        <w:t xml:space="preserve"> Regulation) will be accepted. </w:t>
      </w:r>
      <w:r w:rsidRPr="001417D6">
        <w:rPr>
          <w:lang w:val="en-IE"/>
        </w:rPr>
        <w:t>Regulation (EU) No 910/2014 of the European Parliament and of the Council of 23 July 2014 on electronic identification and trust services for electronic transactions in the internal market and repealing Directive 1999/93/EC.</w:t>
      </w:r>
    </w:p>
  </w:footnote>
  <w:footnote w:id="31">
    <w:p w14:paraId="40C74BAE" w14:textId="77777777" w:rsidR="00AD5CC3" w:rsidRDefault="00AD5CC3" w:rsidP="00BD0DE9">
      <w:pPr>
        <w:pStyle w:val="FootnoteText"/>
      </w:pPr>
      <w:r w:rsidRPr="001417D6">
        <w:rPr>
          <w:rStyle w:val="FootnoteReference"/>
          <w:sz w:val="20"/>
        </w:rPr>
        <w:footnoteRef/>
      </w:r>
      <w:r>
        <w:tab/>
      </w:r>
      <w:r w:rsidRPr="001417D6">
        <w:t xml:space="preserve">If the </w:t>
      </w:r>
      <w:proofErr w:type="spellStart"/>
      <w:r w:rsidRPr="001417D6">
        <w:t>PADOR</w:t>
      </w:r>
      <w:proofErr w:type="spellEnd"/>
      <w:r w:rsidRPr="001417D6">
        <w:t xml:space="preserve"> registration form is submitted, this shall be accompanied by the requested supporting documents.</w:t>
      </w:r>
    </w:p>
  </w:footnote>
  <w:footnote w:id="32">
    <w:p w14:paraId="38AF192B" w14:textId="77777777" w:rsidR="00AD5CC3" w:rsidRDefault="00AD5CC3" w:rsidP="00BD0DE9">
      <w:pPr>
        <w:pStyle w:val="FootnoteText"/>
      </w:pPr>
      <w:r w:rsidRPr="001417D6">
        <w:rPr>
          <w:rStyle w:val="FootnoteReference"/>
          <w:sz w:val="20"/>
        </w:rPr>
        <w:footnoteRef/>
      </w:r>
      <w:r>
        <w:tab/>
      </w:r>
      <w:r w:rsidRPr="001417D6">
        <w:t xml:space="preserve">See footnote </w:t>
      </w:r>
      <w:r w:rsidRPr="001417D6">
        <w:fldChar w:fldCharType="begin"/>
      </w:r>
      <w:r w:rsidRPr="001417D6">
        <w:instrText xml:space="preserve"> NOTEREF _Ref164266883 \h </w:instrText>
      </w:r>
      <w:r>
        <w:instrText xml:space="preserve"> \* MERGEFORMAT </w:instrText>
      </w:r>
      <w:r w:rsidRPr="001417D6">
        <w:fldChar w:fldCharType="separate"/>
      </w:r>
      <w:r>
        <w:t>32</w:t>
      </w:r>
      <w:r w:rsidRPr="001417D6">
        <w:fldChar w:fldCharType="end"/>
      </w:r>
      <w:r w:rsidRPr="001417D6">
        <w:t>.</w:t>
      </w:r>
    </w:p>
  </w:footnote>
  <w:footnote w:id="33">
    <w:p w14:paraId="306560FC" w14:textId="77777777" w:rsidR="00AD5CC3" w:rsidRDefault="00AD5CC3" w:rsidP="00BD0DE9">
      <w:pPr>
        <w:pStyle w:val="FootnoteText"/>
      </w:pPr>
      <w:r w:rsidRPr="001417D6">
        <w:rPr>
          <w:vertAlign w:val="superscript"/>
        </w:rPr>
        <w:footnoteRef/>
      </w:r>
      <w:r>
        <w:tab/>
      </w:r>
      <w:r w:rsidRPr="001417D6">
        <w:t>These documents should also be published by the contracting authority.</w:t>
      </w:r>
    </w:p>
  </w:footnote>
  <w:footnote w:id="34">
    <w:p w14:paraId="3C467FA2" w14:textId="77777777" w:rsidR="00AD5CC3" w:rsidRDefault="00AD5CC3" w:rsidP="00BD0DE9">
      <w:pPr>
        <w:pStyle w:val="FootnoteText"/>
      </w:pPr>
      <w:r w:rsidRPr="001417D6">
        <w:rPr>
          <w:rStyle w:val="FootnoteReference"/>
          <w:sz w:val="20"/>
        </w:rPr>
        <w:footnoteRef/>
      </w:r>
      <w:r>
        <w:tab/>
      </w:r>
      <w:r w:rsidRPr="001417D6">
        <w:t xml:space="preserve">Please note that the toolkit is not part of the grant contract and has no legal value. It merely provides general guidance and may in some details differ from the signed grant contract. </w:t>
      </w:r>
      <w:proofErr w:type="gramStart"/>
      <w:r w:rsidRPr="001417D6">
        <w:t>In order to</w:t>
      </w:r>
      <w:proofErr w:type="gramEnd"/>
      <w:r w:rsidRPr="001417D6">
        <w:t xml:space="preserve"> ensure compliance with their contractual obligations, beneficiaries should not exclusively rely on the toolkit but always consult their individual contract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FF"/>
    <w:lvl w:ilvl="0">
      <w:start w:val="1"/>
      <w:numFmt w:val="decimal"/>
      <w:pStyle w:val="Heading3"/>
      <w:lvlText w:val="%1."/>
      <w:lvlJc w:val="left"/>
      <w:pPr>
        <w:ind w:left="360" w:hanging="360"/>
      </w:pPr>
      <w:rPr>
        <w:rFonts w:cs="Times New Roman" w:hint="default"/>
      </w:rPr>
    </w:lvl>
  </w:abstractNum>
  <w:abstractNum w:abstractNumId="1" w15:restartNumberingAfterBreak="0">
    <w:nsid w:val="FFFFFF80"/>
    <w:multiLevelType w:val="multilevel"/>
    <w:tmpl w:val="FFFFFFFF"/>
    <w:lvl w:ilvl="0">
      <w:start w:val="1"/>
      <w:numFmt w:val="bullet"/>
      <w:pStyle w:val="Application3"/>
      <w:lvlText w:val=""/>
      <w:lvlJc w:val="left"/>
      <w:pPr>
        <w:tabs>
          <w:tab w:val="num" w:pos="1492"/>
        </w:tabs>
        <w:ind w:left="1492" w:hanging="360"/>
      </w:pPr>
      <w:rPr>
        <w:rFonts w:ascii="Symbol" w:hAnsi="Symbol" w:hint="default"/>
      </w:rPr>
    </w:lvl>
    <w:lvl w:ilvl="1">
      <w:numFmt w:val="decimal"/>
      <w:pStyle w:val="ListNumber2Level2"/>
      <w:lvlText w:val=""/>
      <w:lvlJc w:val="left"/>
      <w:rPr>
        <w:rFonts w:cs="Times New Roman"/>
      </w:rPr>
    </w:lvl>
    <w:lvl w:ilvl="2">
      <w:numFmt w:val="decimal"/>
      <w:pStyle w:val="ListNumber2Level3"/>
      <w:lvlText w:val=""/>
      <w:lvlJc w:val="left"/>
      <w:rPr>
        <w:rFonts w:cs="Times New Roman"/>
      </w:rPr>
    </w:lvl>
    <w:lvl w:ilvl="3">
      <w:numFmt w:val="decimal"/>
      <w:pStyle w:val="ListNumber2Level4"/>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FFFFFF89"/>
    <w:multiLevelType w:val="singleLevel"/>
    <w:tmpl w:val="FFFFFFFF"/>
    <w:lvl w:ilvl="0">
      <w:start w:val="1"/>
      <w:numFmt w:val="bullet"/>
      <w:pStyle w:val="Guidelines3"/>
      <w:lvlText w:val=""/>
      <w:lvlJc w:val="left"/>
      <w:pPr>
        <w:tabs>
          <w:tab w:val="num" w:pos="360"/>
        </w:tabs>
        <w:ind w:left="360" w:hanging="360"/>
      </w:pPr>
      <w:rPr>
        <w:rFonts w:ascii="Symbol" w:hAnsi="Symbol" w:hint="default"/>
      </w:rPr>
    </w:lvl>
  </w:abstractNum>
  <w:abstractNum w:abstractNumId="3" w15:restartNumberingAfterBreak="0">
    <w:nsid w:val="01652CCC"/>
    <w:multiLevelType w:val="multilevel"/>
    <w:tmpl w:val="FFFFFFFF"/>
    <w:lvl w:ilvl="0">
      <w:start w:val="1"/>
      <w:numFmt w:val="decimal"/>
      <w:lvlText w:val="%1."/>
      <w:lvlJc w:val="left"/>
      <w:pPr>
        <w:ind w:left="567" w:hanging="567"/>
      </w:pPr>
      <w:rPr>
        <w:rFonts w:cs="Times New Roman"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851" w:hanging="851"/>
      </w:pPr>
      <w:rPr>
        <w:rFonts w:ascii="Times New Roman Bold" w:hAnsi="Times New Roman Bold" w:cs="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cs="Times New Roman" w:hint="default"/>
      </w:rPr>
    </w:lvl>
    <w:lvl w:ilvl="4">
      <w:start w:val="1"/>
      <w:numFmt w:val="decimal"/>
      <w:isLgl/>
      <w:lvlText w:val="%1.%2.%3.%4.%5"/>
      <w:lvlJc w:val="left"/>
      <w:pPr>
        <w:ind w:left="567" w:hanging="567"/>
      </w:pPr>
      <w:rPr>
        <w:rFonts w:cs="Times New Roman" w:hint="default"/>
      </w:rPr>
    </w:lvl>
    <w:lvl w:ilvl="5">
      <w:start w:val="1"/>
      <w:numFmt w:val="decimal"/>
      <w:isLgl/>
      <w:lvlText w:val="%1.%2.%3.%4.%5.%6"/>
      <w:lvlJc w:val="left"/>
      <w:pPr>
        <w:ind w:left="567" w:hanging="567"/>
      </w:pPr>
      <w:rPr>
        <w:rFonts w:cs="Times New Roman" w:hint="default"/>
      </w:rPr>
    </w:lvl>
    <w:lvl w:ilvl="6">
      <w:start w:val="1"/>
      <w:numFmt w:val="decimal"/>
      <w:isLgl/>
      <w:lvlText w:val="%1.%2.%3.%4.%5.%6.%7"/>
      <w:lvlJc w:val="left"/>
      <w:pPr>
        <w:ind w:left="567" w:hanging="567"/>
      </w:pPr>
      <w:rPr>
        <w:rFonts w:cs="Times New Roman" w:hint="default"/>
      </w:rPr>
    </w:lvl>
    <w:lvl w:ilvl="7">
      <w:start w:val="1"/>
      <w:numFmt w:val="decimal"/>
      <w:isLgl/>
      <w:lvlText w:val="%1.%2.%3.%4.%5.%6.%7.%8"/>
      <w:lvlJc w:val="left"/>
      <w:pPr>
        <w:ind w:left="567" w:hanging="567"/>
      </w:pPr>
      <w:rPr>
        <w:rFonts w:cs="Times New Roman" w:hint="default"/>
      </w:rPr>
    </w:lvl>
    <w:lvl w:ilvl="8">
      <w:start w:val="1"/>
      <w:numFmt w:val="decimal"/>
      <w:isLgl/>
      <w:lvlText w:val="%1.%2.%3.%4.%5.%6.%7.%8.%9"/>
      <w:lvlJc w:val="left"/>
      <w:pPr>
        <w:ind w:left="567" w:hanging="567"/>
      </w:pPr>
      <w:rPr>
        <w:rFonts w:cs="Times New Roman" w:hint="default"/>
      </w:rPr>
    </w:lvl>
  </w:abstractNum>
  <w:abstractNum w:abstractNumId="4" w15:restartNumberingAfterBreak="0">
    <w:nsid w:val="09360ED6"/>
    <w:multiLevelType w:val="hybridMultilevel"/>
    <w:tmpl w:val="FFFFFFFF"/>
    <w:lvl w:ilvl="0" w:tplc="2FA4FB32">
      <w:start w:val="1"/>
      <w:numFmt w:val="bullet"/>
      <w:lvlText w:val=""/>
      <w:lvlJc w:val="left"/>
      <w:pPr>
        <w:ind w:left="720" w:hanging="360"/>
      </w:pPr>
      <w:rPr>
        <w:rFonts w:ascii="Symbol" w:hAnsi="Symbol" w:hint="default"/>
      </w:rPr>
    </w:lvl>
    <w:lvl w:ilvl="1" w:tplc="39B6789A">
      <w:start w:val="1"/>
      <w:numFmt w:val="bullet"/>
      <w:lvlText w:val="o"/>
      <w:lvlJc w:val="left"/>
      <w:pPr>
        <w:ind w:left="1440" w:hanging="360"/>
      </w:pPr>
      <w:rPr>
        <w:rFonts w:ascii="Courier New" w:hAnsi="Courier New" w:hint="default"/>
      </w:rPr>
    </w:lvl>
    <w:lvl w:ilvl="2" w:tplc="07FA7864">
      <w:start w:val="1"/>
      <w:numFmt w:val="bullet"/>
      <w:lvlText w:val=""/>
      <w:lvlJc w:val="left"/>
      <w:pPr>
        <w:ind w:left="2160" w:hanging="360"/>
      </w:pPr>
      <w:rPr>
        <w:rFonts w:ascii="Wingdings" w:hAnsi="Wingdings" w:hint="default"/>
      </w:rPr>
    </w:lvl>
    <w:lvl w:ilvl="3" w:tplc="F6F020C0">
      <w:start w:val="1"/>
      <w:numFmt w:val="bullet"/>
      <w:lvlText w:val=""/>
      <w:lvlJc w:val="left"/>
      <w:pPr>
        <w:ind w:left="2880" w:hanging="360"/>
      </w:pPr>
      <w:rPr>
        <w:rFonts w:ascii="Symbol" w:hAnsi="Symbol" w:hint="default"/>
      </w:rPr>
    </w:lvl>
    <w:lvl w:ilvl="4" w:tplc="A5D8EED0">
      <w:start w:val="1"/>
      <w:numFmt w:val="bullet"/>
      <w:lvlText w:val="o"/>
      <w:lvlJc w:val="left"/>
      <w:pPr>
        <w:ind w:left="3600" w:hanging="360"/>
      </w:pPr>
      <w:rPr>
        <w:rFonts w:ascii="Courier New" w:hAnsi="Courier New" w:hint="default"/>
      </w:rPr>
    </w:lvl>
    <w:lvl w:ilvl="5" w:tplc="3384C18E">
      <w:start w:val="1"/>
      <w:numFmt w:val="bullet"/>
      <w:lvlText w:val=""/>
      <w:lvlJc w:val="left"/>
      <w:pPr>
        <w:ind w:left="4320" w:hanging="360"/>
      </w:pPr>
      <w:rPr>
        <w:rFonts w:ascii="Wingdings" w:hAnsi="Wingdings" w:hint="default"/>
      </w:rPr>
    </w:lvl>
    <w:lvl w:ilvl="6" w:tplc="E57EC17E">
      <w:start w:val="1"/>
      <w:numFmt w:val="bullet"/>
      <w:lvlText w:val=""/>
      <w:lvlJc w:val="left"/>
      <w:pPr>
        <w:ind w:left="5040" w:hanging="360"/>
      </w:pPr>
      <w:rPr>
        <w:rFonts w:ascii="Symbol" w:hAnsi="Symbol" w:hint="default"/>
      </w:rPr>
    </w:lvl>
    <w:lvl w:ilvl="7" w:tplc="77904FEC">
      <w:start w:val="1"/>
      <w:numFmt w:val="bullet"/>
      <w:lvlText w:val="o"/>
      <w:lvlJc w:val="left"/>
      <w:pPr>
        <w:ind w:left="5760" w:hanging="360"/>
      </w:pPr>
      <w:rPr>
        <w:rFonts w:ascii="Courier New" w:hAnsi="Courier New" w:hint="default"/>
      </w:rPr>
    </w:lvl>
    <w:lvl w:ilvl="8" w:tplc="87542202">
      <w:start w:val="1"/>
      <w:numFmt w:val="bullet"/>
      <w:lvlText w:val=""/>
      <w:lvlJc w:val="left"/>
      <w:pPr>
        <w:ind w:left="6480" w:hanging="360"/>
      </w:pPr>
      <w:rPr>
        <w:rFonts w:ascii="Wingdings" w:hAnsi="Wingdings" w:hint="default"/>
      </w:rPr>
    </w:lvl>
  </w:abstractNum>
  <w:abstractNum w:abstractNumId="5" w15:restartNumberingAfterBreak="0">
    <w:nsid w:val="093D2A25"/>
    <w:multiLevelType w:val="hybridMultilevel"/>
    <w:tmpl w:val="FFFFFFFF"/>
    <w:lvl w:ilvl="0" w:tplc="B8AC50E4">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AF8742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95526"/>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D596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B0D24"/>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C34F6"/>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4A1798"/>
    <w:multiLevelType w:val="hybridMultilevel"/>
    <w:tmpl w:val="FFFFFFFF"/>
    <w:lvl w:ilvl="0" w:tplc="CCAEE030">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15:restartNumberingAfterBreak="0">
    <w:nsid w:val="2CA0292A"/>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40910"/>
    <w:multiLevelType w:val="hybridMultilevel"/>
    <w:tmpl w:val="FFFFFFFF"/>
    <w:lvl w:ilvl="0" w:tplc="54A2365C">
      <w:start w:val="1"/>
      <w:numFmt w:val="lowerRoman"/>
      <w:lvlText w:val="(%1)"/>
      <w:lvlJc w:val="left"/>
      <w:pPr>
        <w:ind w:left="1080" w:hanging="720"/>
      </w:pPr>
      <w:rPr>
        <w:rFonts w:cs="Times New Roman" w:hint="default"/>
      </w:rPr>
    </w:lvl>
    <w:lvl w:ilvl="1" w:tplc="8084C9E2">
      <w:start w:val="1"/>
      <w:numFmt w:val="lowerLetter"/>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9B3BCD"/>
    <w:multiLevelType w:val="hybridMultilevel"/>
    <w:tmpl w:val="FFFFFFFF"/>
    <w:lvl w:ilvl="0" w:tplc="208620E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425047BB"/>
    <w:multiLevelType w:val="hybridMultilevel"/>
    <w:tmpl w:val="FFFFFFFF"/>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47D322C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44FBD"/>
    <w:multiLevelType w:val="hybridMultilevel"/>
    <w:tmpl w:val="FFFFFFFF"/>
    <w:lvl w:ilvl="0" w:tplc="91585BAC">
      <w:numFmt w:val="bullet"/>
      <w:lvlText w:val="-"/>
      <w:lvlJc w:val="left"/>
      <w:pPr>
        <w:ind w:left="742" w:hanging="360"/>
      </w:pPr>
      <w:rPr>
        <w:rFonts w:ascii="Times New Roman" w:eastAsia="Times New Roman" w:hAnsi="Times New Roman" w:hint="default"/>
      </w:rPr>
    </w:lvl>
    <w:lvl w:ilvl="1" w:tplc="040C0003">
      <w:start w:val="1"/>
      <w:numFmt w:val="bullet"/>
      <w:lvlText w:val="o"/>
      <w:lvlJc w:val="left"/>
      <w:pPr>
        <w:ind w:left="1462" w:hanging="360"/>
      </w:pPr>
      <w:rPr>
        <w:rFonts w:ascii="Courier New" w:hAnsi="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hint="default"/>
      </w:rPr>
    </w:lvl>
    <w:lvl w:ilvl="8" w:tplc="040C0005">
      <w:start w:val="1"/>
      <w:numFmt w:val="bullet"/>
      <w:lvlText w:val=""/>
      <w:lvlJc w:val="left"/>
      <w:pPr>
        <w:ind w:left="6502" w:hanging="360"/>
      </w:pPr>
      <w:rPr>
        <w:rFonts w:ascii="Wingdings" w:hAnsi="Wingdings" w:hint="default"/>
      </w:rPr>
    </w:lvl>
  </w:abstractNum>
  <w:abstractNum w:abstractNumId="18" w15:restartNumberingAfterBreak="0">
    <w:nsid w:val="4ED90E1E"/>
    <w:multiLevelType w:val="hybridMultilevel"/>
    <w:tmpl w:val="83442D28"/>
    <w:lvl w:ilvl="0" w:tplc="D7CC47D8">
      <w:start w:val="1"/>
      <w:numFmt w:val="bullet"/>
      <w:lvlText w:val="•"/>
      <w:lvlJc w:val="left"/>
      <w:pPr>
        <w:tabs>
          <w:tab w:val="num" w:pos="720"/>
        </w:tabs>
        <w:ind w:left="720" w:hanging="360"/>
      </w:pPr>
      <w:rPr>
        <w:rFonts w:ascii="Arial" w:hAnsi="Arial" w:hint="default"/>
      </w:rPr>
    </w:lvl>
    <w:lvl w:ilvl="1" w:tplc="BD9472B2" w:tentative="1">
      <w:start w:val="1"/>
      <w:numFmt w:val="bullet"/>
      <w:lvlText w:val="•"/>
      <w:lvlJc w:val="left"/>
      <w:pPr>
        <w:tabs>
          <w:tab w:val="num" w:pos="1440"/>
        </w:tabs>
        <w:ind w:left="1440" w:hanging="360"/>
      </w:pPr>
      <w:rPr>
        <w:rFonts w:ascii="Arial" w:hAnsi="Arial" w:hint="default"/>
      </w:rPr>
    </w:lvl>
    <w:lvl w:ilvl="2" w:tplc="93607514" w:tentative="1">
      <w:start w:val="1"/>
      <w:numFmt w:val="bullet"/>
      <w:lvlText w:val="•"/>
      <w:lvlJc w:val="left"/>
      <w:pPr>
        <w:tabs>
          <w:tab w:val="num" w:pos="2160"/>
        </w:tabs>
        <w:ind w:left="2160" w:hanging="360"/>
      </w:pPr>
      <w:rPr>
        <w:rFonts w:ascii="Arial" w:hAnsi="Arial" w:hint="default"/>
      </w:rPr>
    </w:lvl>
    <w:lvl w:ilvl="3" w:tplc="EAC0669E" w:tentative="1">
      <w:start w:val="1"/>
      <w:numFmt w:val="bullet"/>
      <w:lvlText w:val="•"/>
      <w:lvlJc w:val="left"/>
      <w:pPr>
        <w:tabs>
          <w:tab w:val="num" w:pos="2880"/>
        </w:tabs>
        <w:ind w:left="2880" w:hanging="360"/>
      </w:pPr>
      <w:rPr>
        <w:rFonts w:ascii="Arial" w:hAnsi="Arial" w:hint="default"/>
      </w:rPr>
    </w:lvl>
    <w:lvl w:ilvl="4" w:tplc="149882A8" w:tentative="1">
      <w:start w:val="1"/>
      <w:numFmt w:val="bullet"/>
      <w:lvlText w:val="•"/>
      <w:lvlJc w:val="left"/>
      <w:pPr>
        <w:tabs>
          <w:tab w:val="num" w:pos="3600"/>
        </w:tabs>
        <w:ind w:left="3600" w:hanging="360"/>
      </w:pPr>
      <w:rPr>
        <w:rFonts w:ascii="Arial" w:hAnsi="Arial" w:hint="default"/>
      </w:rPr>
    </w:lvl>
    <w:lvl w:ilvl="5" w:tplc="0E10E780" w:tentative="1">
      <w:start w:val="1"/>
      <w:numFmt w:val="bullet"/>
      <w:lvlText w:val="•"/>
      <w:lvlJc w:val="left"/>
      <w:pPr>
        <w:tabs>
          <w:tab w:val="num" w:pos="4320"/>
        </w:tabs>
        <w:ind w:left="4320" w:hanging="360"/>
      </w:pPr>
      <w:rPr>
        <w:rFonts w:ascii="Arial" w:hAnsi="Arial" w:hint="default"/>
      </w:rPr>
    </w:lvl>
    <w:lvl w:ilvl="6" w:tplc="BA9EE6EC" w:tentative="1">
      <w:start w:val="1"/>
      <w:numFmt w:val="bullet"/>
      <w:lvlText w:val="•"/>
      <w:lvlJc w:val="left"/>
      <w:pPr>
        <w:tabs>
          <w:tab w:val="num" w:pos="5040"/>
        </w:tabs>
        <w:ind w:left="5040" w:hanging="360"/>
      </w:pPr>
      <w:rPr>
        <w:rFonts w:ascii="Arial" w:hAnsi="Arial" w:hint="default"/>
      </w:rPr>
    </w:lvl>
    <w:lvl w:ilvl="7" w:tplc="8B884EE8" w:tentative="1">
      <w:start w:val="1"/>
      <w:numFmt w:val="bullet"/>
      <w:lvlText w:val="•"/>
      <w:lvlJc w:val="left"/>
      <w:pPr>
        <w:tabs>
          <w:tab w:val="num" w:pos="5760"/>
        </w:tabs>
        <w:ind w:left="5760" w:hanging="360"/>
      </w:pPr>
      <w:rPr>
        <w:rFonts w:ascii="Arial" w:hAnsi="Arial" w:hint="default"/>
      </w:rPr>
    </w:lvl>
    <w:lvl w:ilvl="8" w:tplc="75220ED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59154E"/>
    <w:multiLevelType w:val="hybridMultilevel"/>
    <w:tmpl w:val="FFFFFFFF"/>
    <w:lvl w:ilvl="0" w:tplc="F6442AF2">
      <w:start w:val="1"/>
      <w:numFmt w:val="decimal"/>
      <w:lvlText w:val="(%1)"/>
      <w:lvlJc w:val="left"/>
      <w:pPr>
        <w:ind w:left="993" w:hanging="567"/>
      </w:pPr>
      <w:rPr>
        <w:rFonts w:cs="Times New Roman" w:hint="default"/>
      </w:rPr>
    </w:lvl>
    <w:lvl w:ilvl="1" w:tplc="08090019">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20" w15:restartNumberingAfterBreak="0">
    <w:nsid w:val="57E419D9"/>
    <w:multiLevelType w:val="multilevel"/>
    <w:tmpl w:val="FFFFFFFF"/>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8DB0648"/>
    <w:multiLevelType w:val="hybridMultilevel"/>
    <w:tmpl w:val="FFFFFFFF"/>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A76BA"/>
    <w:multiLevelType w:val="hybridMultilevel"/>
    <w:tmpl w:val="FFFFFFFF"/>
    <w:lvl w:ilvl="0" w:tplc="BFA0F0AE">
      <w:start w:val="5"/>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0204BF7"/>
    <w:multiLevelType w:val="hybridMultilevel"/>
    <w:tmpl w:val="FFFFFFFF"/>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C5352"/>
    <w:multiLevelType w:val="hybridMultilevel"/>
    <w:tmpl w:val="FFFFFFFF"/>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4AA78DE"/>
    <w:multiLevelType w:val="hybridMultilevel"/>
    <w:tmpl w:val="FFFFFFFF"/>
    <w:lvl w:ilvl="0" w:tplc="AD56605C">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8B7635C"/>
    <w:multiLevelType w:val="hybridMultilevel"/>
    <w:tmpl w:val="FFFFFFFF"/>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A978F4"/>
    <w:multiLevelType w:val="hybridMultilevel"/>
    <w:tmpl w:val="FFFFFFFF"/>
    <w:lvl w:ilvl="0" w:tplc="FFFFFFFF">
      <w:start w:val="1"/>
      <w:numFmt w:val="lowerLetter"/>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28" w15:restartNumberingAfterBreak="0">
    <w:nsid w:val="7D9465F7"/>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FA1E7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81981">
    <w:abstractNumId w:val="1"/>
  </w:num>
  <w:num w:numId="2" w16cid:durableId="1421291317">
    <w:abstractNumId w:val="2"/>
  </w:num>
  <w:num w:numId="3" w16cid:durableId="135417196">
    <w:abstractNumId w:val="0"/>
  </w:num>
  <w:num w:numId="4" w16cid:durableId="1786198003">
    <w:abstractNumId w:val="1"/>
  </w:num>
  <w:num w:numId="5" w16cid:durableId="275068565">
    <w:abstractNumId w:val="2"/>
  </w:num>
  <w:num w:numId="6" w16cid:durableId="463471577">
    <w:abstractNumId w:val="3"/>
  </w:num>
  <w:num w:numId="7" w16cid:durableId="263153715">
    <w:abstractNumId w:val="8"/>
  </w:num>
  <w:num w:numId="8" w16cid:durableId="1075591856">
    <w:abstractNumId w:val="16"/>
  </w:num>
  <w:num w:numId="9" w16cid:durableId="184026731">
    <w:abstractNumId w:val="29"/>
  </w:num>
  <w:num w:numId="10" w16cid:durableId="1823228027">
    <w:abstractNumId w:val="15"/>
  </w:num>
  <w:num w:numId="11" w16cid:durableId="1159422776">
    <w:abstractNumId w:val="7"/>
  </w:num>
  <w:num w:numId="12" w16cid:durableId="818887494">
    <w:abstractNumId w:val="23"/>
  </w:num>
  <w:num w:numId="13" w16cid:durableId="680276199">
    <w:abstractNumId w:val="19"/>
  </w:num>
  <w:num w:numId="14" w16cid:durableId="1659383535">
    <w:abstractNumId w:val="9"/>
  </w:num>
  <w:num w:numId="15" w16cid:durableId="912737863">
    <w:abstractNumId w:val="28"/>
  </w:num>
  <w:num w:numId="16" w16cid:durableId="894659618">
    <w:abstractNumId w:val="12"/>
  </w:num>
  <w:num w:numId="17" w16cid:durableId="1300304472">
    <w:abstractNumId w:val="6"/>
  </w:num>
  <w:num w:numId="18" w16cid:durableId="65609376">
    <w:abstractNumId w:val="14"/>
  </w:num>
  <w:num w:numId="19" w16cid:durableId="867791518">
    <w:abstractNumId w:val="13"/>
  </w:num>
  <w:num w:numId="20" w16cid:durableId="439840151">
    <w:abstractNumId w:val="22"/>
  </w:num>
  <w:num w:numId="21" w16cid:durableId="204878338">
    <w:abstractNumId w:val="17"/>
  </w:num>
  <w:num w:numId="22" w16cid:durableId="205264649">
    <w:abstractNumId w:val="26"/>
  </w:num>
  <w:num w:numId="23" w16cid:durableId="854420012">
    <w:abstractNumId w:val="5"/>
  </w:num>
  <w:num w:numId="24" w16cid:durableId="2047245690">
    <w:abstractNumId w:val="24"/>
  </w:num>
  <w:num w:numId="25" w16cid:durableId="26686514">
    <w:abstractNumId w:val="11"/>
  </w:num>
  <w:num w:numId="26" w16cid:durableId="1084954487">
    <w:abstractNumId w:val="10"/>
  </w:num>
  <w:num w:numId="27" w16cid:durableId="1578785143">
    <w:abstractNumId w:val="25"/>
  </w:num>
  <w:num w:numId="28" w16cid:durableId="408617500">
    <w:abstractNumId w:val="27"/>
  </w:num>
  <w:num w:numId="29" w16cid:durableId="187530070">
    <w:abstractNumId w:val="4"/>
  </w:num>
  <w:num w:numId="30" w16cid:durableId="1137912168">
    <w:abstractNumId w:val="21"/>
  </w:num>
  <w:num w:numId="31" w16cid:durableId="1473909338">
    <w:abstractNumId w:val="18"/>
  </w:num>
  <w:num w:numId="32" w16cid:durableId="1472554898">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49B5"/>
    <w:rsid w:val="00000189"/>
    <w:rsid w:val="00000396"/>
    <w:rsid w:val="0000050E"/>
    <w:rsid w:val="00000B02"/>
    <w:rsid w:val="000015FC"/>
    <w:rsid w:val="00001767"/>
    <w:rsid w:val="00001F83"/>
    <w:rsid w:val="000030E5"/>
    <w:rsid w:val="00003166"/>
    <w:rsid w:val="00003724"/>
    <w:rsid w:val="000041CB"/>
    <w:rsid w:val="000041CE"/>
    <w:rsid w:val="000043F8"/>
    <w:rsid w:val="0000587D"/>
    <w:rsid w:val="00005E10"/>
    <w:rsid w:val="00006069"/>
    <w:rsid w:val="00006318"/>
    <w:rsid w:val="00007BEE"/>
    <w:rsid w:val="0001129D"/>
    <w:rsid w:val="00011765"/>
    <w:rsid w:val="0001251B"/>
    <w:rsid w:val="000127B4"/>
    <w:rsid w:val="00012898"/>
    <w:rsid w:val="00012BBB"/>
    <w:rsid w:val="00012D9A"/>
    <w:rsid w:val="0001411D"/>
    <w:rsid w:val="0001462B"/>
    <w:rsid w:val="0001485A"/>
    <w:rsid w:val="00014BB7"/>
    <w:rsid w:val="00014E97"/>
    <w:rsid w:val="000159A3"/>
    <w:rsid w:val="00017505"/>
    <w:rsid w:val="000176DE"/>
    <w:rsid w:val="00017DDF"/>
    <w:rsid w:val="00017EFF"/>
    <w:rsid w:val="00020C81"/>
    <w:rsid w:val="000220E5"/>
    <w:rsid w:val="00022D3C"/>
    <w:rsid w:val="00023576"/>
    <w:rsid w:val="0002374A"/>
    <w:rsid w:val="0002503B"/>
    <w:rsid w:val="00025394"/>
    <w:rsid w:val="00025EAB"/>
    <w:rsid w:val="00026D5B"/>
    <w:rsid w:val="000275A9"/>
    <w:rsid w:val="00027881"/>
    <w:rsid w:val="00027C2F"/>
    <w:rsid w:val="0003006C"/>
    <w:rsid w:val="00030A89"/>
    <w:rsid w:val="00030E42"/>
    <w:rsid w:val="000312D2"/>
    <w:rsid w:val="00031E41"/>
    <w:rsid w:val="000323AD"/>
    <w:rsid w:val="00033A1F"/>
    <w:rsid w:val="00034524"/>
    <w:rsid w:val="00034906"/>
    <w:rsid w:val="00034BC8"/>
    <w:rsid w:val="00036F0B"/>
    <w:rsid w:val="0003772E"/>
    <w:rsid w:val="000405C5"/>
    <w:rsid w:val="00040730"/>
    <w:rsid w:val="000408E7"/>
    <w:rsid w:val="00042967"/>
    <w:rsid w:val="000445D3"/>
    <w:rsid w:val="00045368"/>
    <w:rsid w:val="00045E79"/>
    <w:rsid w:val="00045F72"/>
    <w:rsid w:val="00046C46"/>
    <w:rsid w:val="00047C7D"/>
    <w:rsid w:val="00050B50"/>
    <w:rsid w:val="00050E48"/>
    <w:rsid w:val="0005133A"/>
    <w:rsid w:val="0005169C"/>
    <w:rsid w:val="000519DA"/>
    <w:rsid w:val="00051AC1"/>
    <w:rsid w:val="00054B49"/>
    <w:rsid w:val="00054F87"/>
    <w:rsid w:val="00055FED"/>
    <w:rsid w:val="00056377"/>
    <w:rsid w:val="000572EE"/>
    <w:rsid w:val="000603C3"/>
    <w:rsid w:val="0006044D"/>
    <w:rsid w:val="00061086"/>
    <w:rsid w:val="000616CA"/>
    <w:rsid w:val="00061871"/>
    <w:rsid w:val="000618B3"/>
    <w:rsid w:val="000620AD"/>
    <w:rsid w:val="00062A91"/>
    <w:rsid w:val="000636F3"/>
    <w:rsid w:val="000638B5"/>
    <w:rsid w:val="00063A68"/>
    <w:rsid w:val="00063B9A"/>
    <w:rsid w:val="0006470D"/>
    <w:rsid w:val="0006470E"/>
    <w:rsid w:val="00064836"/>
    <w:rsid w:val="0006488E"/>
    <w:rsid w:val="000648BB"/>
    <w:rsid w:val="0006505A"/>
    <w:rsid w:val="00065311"/>
    <w:rsid w:val="00065C6A"/>
    <w:rsid w:val="00065F32"/>
    <w:rsid w:val="00066C30"/>
    <w:rsid w:val="00066C91"/>
    <w:rsid w:val="00067591"/>
    <w:rsid w:val="00067A85"/>
    <w:rsid w:val="000712A0"/>
    <w:rsid w:val="0007171B"/>
    <w:rsid w:val="000728FC"/>
    <w:rsid w:val="000734D6"/>
    <w:rsid w:val="000735EC"/>
    <w:rsid w:val="0007408E"/>
    <w:rsid w:val="000745FC"/>
    <w:rsid w:val="0007498A"/>
    <w:rsid w:val="000752CD"/>
    <w:rsid w:val="0007546C"/>
    <w:rsid w:val="00076061"/>
    <w:rsid w:val="000762FC"/>
    <w:rsid w:val="00077BB8"/>
    <w:rsid w:val="00080947"/>
    <w:rsid w:val="00081B91"/>
    <w:rsid w:val="000825C6"/>
    <w:rsid w:val="00082D09"/>
    <w:rsid w:val="00082F25"/>
    <w:rsid w:val="000842B5"/>
    <w:rsid w:val="00084CB5"/>
    <w:rsid w:val="000852E9"/>
    <w:rsid w:val="0008570E"/>
    <w:rsid w:val="00085BC3"/>
    <w:rsid w:val="0008672E"/>
    <w:rsid w:val="00087373"/>
    <w:rsid w:val="00090A34"/>
    <w:rsid w:val="000919FB"/>
    <w:rsid w:val="00092286"/>
    <w:rsid w:val="00092538"/>
    <w:rsid w:val="00092688"/>
    <w:rsid w:val="00092AB2"/>
    <w:rsid w:val="00093C1F"/>
    <w:rsid w:val="00093DA8"/>
    <w:rsid w:val="0009588C"/>
    <w:rsid w:val="00095C5E"/>
    <w:rsid w:val="00095EC4"/>
    <w:rsid w:val="0009657A"/>
    <w:rsid w:val="00096733"/>
    <w:rsid w:val="000971D0"/>
    <w:rsid w:val="00097401"/>
    <w:rsid w:val="00097686"/>
    <w:rsid w:val="00097B47"/>
    <w:rsid w:val="000A04BD"/>
    <w:rsid w:val="000A1827"/>
    <w:rsid w:val="000A2C18"/>
    <w:rsid w:val="000A3945"/>
    <w:rsid w:val="000A4055"/>
    <w:rsid w:val="000A486E"/>
    <w:rsid w:val="000A4D6E"/>
    <w:rsid w:val="000A51F3"/>
    <w:rsid w:val="000A60D9"/>
    <w:rsid w:val="000A7766"/>
    <w:rsid w:val="000B071C"/>
    <w:rsid w:val="000B0FF1"/>
    <w:rsid w:val="000B1032"/>
    <w:rsid w:val="000B1B0A"/>
    <w:rsid w:val="000B21CB"/>
    <w:rsid w:val="000B2496"/>
    <w:rsid w:val="000B24FE"/>
    <w:rsid w:val="000B2A3D"/>
    <w:rsid w:val="000B327F"/>
    <w:rsid w:val="000B7AC2"/>
    <w:rsid w:val="000B7FE7"/>
    <w:rsid w:val="000C00BF"/>
    <w:rsid w:val="000C024F"/>
    <w:rsid w:val="000C06A5"/>
    <w:rsid w:val="000C06B6"/>
    <w:rsid w:val="000C0AD6"/>
    <w:rsid w:val="000C152D"/>
    <w:rsid w:val="000C1624"/>
    <w:rsid w:val="000C183F"/>
    <w:rsid w:val="000C2C50"/>
    <w:rsid w:val="000C3776"/>
    <w:rsid w:val="000C3E25"/>
    <w:rsid w:val="000C4252"/>
    <w:rsid w:val="000C4276"/>
    <w:rsid w:val="000C6140"/>
    <w:rsid w:val="000C6593"/>
    <w:rsid w:val="000C6B6E"/>
    <w:rsid w:val="000C72A6"/>
    <w:rsid w:val="000D016F"/>
    <w:rsid w:val="000D0C48"/>
    <w:rsid w:val="000D240A"/>
    <w:rsid w:val="000D26FA"/>
    <w:rsid w:val="000D40CC"/>
    <w:rsid w:val="000D41A5"/>
    <w:rsid w:val="000D46D7"/>
    <w:rsid w:val="000D5F55"/>
    <w:rsid w:val="000D5F99"/>
    <w:rsid w:val="000D61C6"/>
    <w:rsid w:val="000D773C"/>
    <w:rsid w:val="000D7ACD"/>
    <w:rsid w:val="000E123D"/>
    <w:rsid w:val="000E1508"/>
    <w:rsid w:val="000E19B9"/>
    <w:rsid w:val="000E1C1C"/>
    <w:rsid w:val="000E2AF6"/>
    <w:rsid w:val="000E2E9C"/>
    <w:rsid w:val="000E3294"/>
    <w:rsid w:val="000E32B1"/>
    <w:rsid w:val="000E3810"/>
    <w:rsid w:val="000E38CD"/>
    <w:rsid w:val="000E4726"/>
    <w:rsid w:val="000E5BD3"/>
    <w:rsid w:val="000E76E9"/>
    <w:rsid w:val="000F1310"/>
    <w:rsid w:val="000F197D"/>
    <w:rsid w:val="000F2165"/>
    <w:rsid w:val="000F22BC"/>
    <w:rsid w:val="000F47D9"/>
    <w:rsid w:val="000F52E2"/>
    <w:rsid w:val="000F5467"/>
    <w:rsid w:val="000F59A0"/>
    <w:rsid w:val="000F611E"/>
    <w:rsid w:val="000F62AF"/>
    <w:rsid w:val="000F7405"/>
    <w:rsid w:val="001003C5"/>
    <w:rsid w:val="00100C6B"/>
    <w:rsid w:val="00100E22"/>
    <w:rsid w:val="00100F61"/>
    <w:rsid w:val="00100FAC"/>
    <w:rsid w:val="00101271"/>
    <w:rsid w:val="00101AEE"/>
    <w:rsid w:val="00101B6B"/>
    <w:rsid w:val="00101D6B"/>
    <w:rsid w:val="00101E54"/>
    <w:rsid w:val="00101FF1"/>
    <w:rsid w:val="001027A3"/>
    <w:rsid w:val="00103811"/>
    <w:rsid w:val="00107C6D"/>
    <w:rsid w:val="00112225"/>
    <w:rsid w:val="00112E4F"/>
    <w:rsid w:val="0011455E"/>
    <w:rsid w:val="00114A00"/>
    <w:rsid w:val="00114EE7"/>
    <w:rsid w:val="001151FE"/>
    <w:rsid w:val="0011551C"/>
    <w:rsid w:val="001158D6"/>
    <w:rsid w:val="001162F0"/>
    <w:rsid w:val="00116BB5"/>
    <w:rsid w:val="001178DC"/>
    <w:rsid w:val="00120A8D"/>
    <w:rsid w:val="00121219"/>
    <w:rsid w:val="00121CA0"/>
    <w:rsid w:val="00122047"/>
    <w:rsid w:val="00122B03"/>
    <w:rsid w:val="001232A6"/>
    <w:rsid w:val="001236BA"/>
    <w:rsid w:val="00124239"/>
    <w:rsid w:val="001249D9"/>
    <w:rsid w:val="00124DD1"/>
    <w:rsid w:val="001254ED"/>
    <w:rsid w:val="00126371"/>
    <w:rsid w:val="00127131"/>
    <w:rsid w:val="001309F2"/>
    <w:rsid w:val="00132E55"/>
    <w:rsid w:val="00133F74"/>
    <w:rsid w:val="0013435B"/>
    <w:rsid w:val="00136683"/>
    <w:rsid w:val="00136AD0"/>
    <w:rsid w:val="0013713C"/>
    <w:rsid w:val="00137168"/>
    <w:rsid w:val="00137436"/>
    <w:rsid w:val="00137D64"/>
    <w:rsid w:val="00140A0D"/>
    <w:rsid w:val="001417D6"/>
    <w:rsid w:val="001421B6"/>
    <w:rsid w:val="001429AD"/>
    <w:rsid w:val="00142E9E"/>
    <w:rsid w:val="00143E05"/>
    <w:rsid w:val="00145E10"/>
    <w:rsid w:val="0014692E"/>
    <w:rsid w:val="00146F1C"/>
    <w:rsid w:val="00147ECE"/>
    <w:rsid w:val="0015028B"/>
    <w:rsid w:val="00150568"/>
    <w:rsid w:val="001507E7"/>
    <w:rsid w:val="00151EDE"/>
    <w:rsid w:val="00152797"/>
    <w:rsid w:val="00152F84"/>
    <w:rsid w:val="00153C75"/>
    <w:rsid w:val="00153E80"/>
    <w:rsid w:val="00154428"/>
    <w:rsid w:val="00154C34"/>
    <w:rsid w:val="001554CF"/>
    <w:rsid w:val="001558C4"/>
    <w:rsid w:val="00155BB8"/>
    <w:rsid w:val="00155FE9"/>
    <w:rsid w:val="001561E0"/>
    <w:rsid w:val="001564BC"/>
    <w:rsid w:val="001566CE"/>
    <w:rsid w:val="00156DE6"/>
    <w:rsid w:val="00157648"/>
    <w:rsid w:val="001606C0"/>
    <w:rsid w:val="00160781"/>
    <w:rsid w:val="00161AC7"/>
    <w:rsid w:val="00161C69"/>
    <w:rsid w:val="00163C3A"/>
    <w:rsid w:val="001640CB"/>
    <w:rsid w:val="0016459B"/>
    <w:rsid w:val="0016598D"/>
    <w:rsid w:val="00165D3D"/>
    <w:rsid w:val="00165EB2"/>
    <w:rsid w:val="001664B1"/>
    <w:rsid w:val="00167D43"/>
    <w:rsid w:val="00170A04"/>
    <w:rsid w:val="00172079"/>
    <w:rsid w:val="00172770"/>
    <w:rsid w:val="001729EF"/>
    <w:rsid w:val="0017357A"/>
    <w:rsid w:val="00173829"/>
    <w:rsid w:val="00173C10"/>
    <w:rsid w:val="00175DE7"/>
    <w:rsid w:val="00175F1E"/>
    <w:rsid w:val="00175F39"/>
    <w:rsid w:val="00176363"/>
    <w:rsid w:val="001764DE"/>
    <w:rsid w:val="00176719"/>
    <w:rsid w:val="00176901"/>
    <w:rsid w:val="00176B31"/>
    <w:rsid w:val="00176C61"/>
    <w:rsid w:val="00176FB1"/>
    <w:rsid w:val="0017762C"/>
    <w:rsid w:val="00180523"/>
    <w:rsid w:val="001807CB"/>
    <w:rsid w:val="00180895"/>
    <w:rsid w:val="001817FD"/>
    <w:rsid w:val="0018180E"/>
    <w:rsid w:val="00181D7A"/>
    <w:rsid w:val="001825C6"/>
    <w:rsid w:val="00183435"/>
    <w:rsid w:val="001844EB"/>
    <w:rsid w:val="001848C3"/>
    <w:rsid w:val="001851C2"/>
    <w:rsid w:val="00186FD3"/>
    <w:rsid w:val="001870D3"/>
    <w:rsid w:val="00187D60"/>
    <w:rsid w:val="00190A5D"/>
    <w:rsid w:val="00190A83"/>
    <w:rsid w:val="00192503"/>
    <w:rsid w:val="0019373F"/>
    <w:rsid w:val="001937BC"/>
    <w:rsid w:val="00195347"/>
    <w:rsid w:val="00195EAB"/>
    <w:rsid w:val="001974E4"/>
    <w:rsid w:val="00197634"/>
    <w:rsid w:val="00197AA9"/>
    <w:rsid w:val="001A00CD"/>
    <w:rsid w:val="001A081C"/>
    <w:rsid w:val="001A08F6"/>
    <w:rsid w:val="001A0FEC"/>
    <w:rsid w:val="001A143D"/>
    <w:rsid w:val="001A1C01"/>
    <w:rsid w:val="001A1E7A"/>
    <w:rsid w:val="001A27A5"/>
    <w:rsid w:val="001A2CE2"/>
    <w:rsid w:val="001A31B7"/>
    <w:rsid w:val="001A3322"/>
    <w:rsid w:val="001A3734"/>
    <w:rsid w:val="001A394F"/>
    <w:rsid w:val="001A3DAF"/>
    <w:rsid w:val="001A3FE1"/>
    <w:rsid w:val="001A4D38"/>
    <w:rsid w:val="001A4F8E"/>
    <w:rsid w:val="001A5A22"/>
    <w:rsid w:val="001B03E2"/>
    <w:rsid w:val="001B0750"/>
    <w:rsid w:val="001B2484"/>
    <w:rsid w:val="001B26AC"/>
    <w:rsid w:val="001B34D4"/>
    <w:rsid w:val="001B4EC0"/>
    <w:rsid w:val="001B53C9"/>
    <w:rsid w:val="001B53ED"/>
    <w:rsid w:val="001B55FC"/>
    <w:rsid w:val="001B596A"/>
    <w:rsid w:val="001B69A5"/>
    <w:rsid w:val="001B6E72"/>
    <w:rsid w:val="001B6F5A"/>
    <w:rsid w:val="001B708C"/>
    <w:rsid w:val="001B7D50"/>
    <w:rsid w:val="001C0A89"/>
    <w:rsid w:val="001C0EFE"/>
    <w:rsid w:val="001C1D2C"/>
    <w:rsid w:val="001C1DBA"/>
    <w:rsid w:val="001C1EB6"/>
    <w:rsid w:val="001C474A"/>
    <w:rsid w:val="001C4D3A"/>
    <w:rsid w:val="001C4EEE"/>
    <w:rsid w:val="001C5CF9"/>
    <w:rsid w:val="001C5D7E"/>
    <w:rsid w:val="001C71E4"/>
    <w:rsid w:val="001C71F8"/>
    <w:rsid w:val="001C7DA0"/>
    <w:rsid w:val="001D07C0"/>
    <w:rsid w:val="001D0C7B"/>
    <w:rsid w:val="001D0D72"/>
    <w:rsid w:val="001D2826"/>
    <w:rsid w:val="001D3C19"/>
    <w:rsid w:val="001D4949"/>
    <w:rsid w:val="001D499F"/>
    <w:rsid w:val="001D5B79"/>
    <w:rsid w:val="001D5CF0"/>
    <w:rsid w:val="001D6917"/>
    <w:rsid w:val="001D6EA7"/>
    <w:rsid w:val="001D7ABB"/>
    <w:rsid w:val="001D7B14"/>
    <w:rsid w:val="001E0435"/>
    <w:rsid w:val="001E10DA"/>
    <w:rsid w:val="001E2490"/>
    <w:rsid w:val="001E262B"/>
    <w:rsid w:val="001E274C"/>
    <w:rsid w:val="001E2E0D"/>
    <w:rsid w:val="001E3BA7"/>
    <w:rsid w:val="001E4A72"/>
    <w:rsid w:val="001E4FE1"/>
    <w:rsid w:val="001E61B6"/>
    <w:rsid w:val="001E633D"/>
    <w:rsid w:val="001E6568"/>
    <w:rsid w:val="001E7C41"/>
    <w:rsid w:val="001F08AD"/>
    <w:rsid w:val="001F0C60"/>
    <w:rsid w:val="001F22BC"/>
    <w:rsid w:val="001F4014"/>
    <w:rsid w:val="001F4708"/>
    <w:rsid w:val="001F47DB"/>
    <w:rsid w:val="001F4A09"/>
    <w:rsid w:val="001F59CD"/>
    <w:rsid w:val="001F6434"/>
    <w:rsid w:val="001F7DFC"/>
    <w:rsid w:val="002004B0"/>
    <w:rsid w:val="00200ACF"/>
    <w:rsid w:val="00200DB7"/>
    <w:rsid w:val="002015A7"/>
    <w:rsid w:val="00201CF5"/>
    <w:rsid w:val="00201E89"/>
    <w:rsid w:val="002023D8"/>
    <w:rsid w:val="00203ABF"/>
    <w:rsid w:val="00203BFA"/>
    <w:rsid w:val="0020401B"/>
    <w:rsid w:val="002040AB"/>
    <w:rsid w:val="002045C6"/>
    <w:rsid w:val="00204F64"/>
    <w:rsid w:val="00205C2A"/>
    <w:rsid w:val="00205D6F"/>
    <w:rsid w:val="002060C2"/>
    <w:rsid w:val="0020704F"/>
    <w:rsid w:val="002108AC"/>
    <w:rsid w:val="00211ADF"/>
    <w:rsid w:val="00211B17"/>
    <w:rsid w:val="00211B8D"/>
    <w:rsid w:val="00212526"/>
    <w:rsid w:val="002128D0"/>
    <w:rsid w:val="0021362B"/>
    <w:rsid w:val="00217129"/>
    <w:rsid w:val="00220999"/>
    <w:rsid w:val="0022115B"/>
    <w:rsid w:val="00221163"/>
    <w:rsid w:val="0022120B"/>
    <w:rsid w:val="0022128C"/>
    <w:rsid w:val="00221350"/>
    <w:rsid w:val="00222427"/>
    <w:rsid w:val="0022283B"/>
    <w:rsid w:val="00222886"/>
    <w:rsid w:val="00222AE2"/>
    <w:rsid w:val="00222C04"/>
    <w:rsid w:val="0022324E"/>
    <w:rsid w:val="00223658"/>
    <w:rsid w:val="00223C40"/>
    <w:rsid w:val="0022442A"/>
    <w:rsid w:val="002254C4"/>
    <w:rsid w:val="00225C3A"/>
    <w:rsid w:val="00225E0E"/>
    <w:rsid w:val="00226148"/>
    <w:rsid w:val="002265E1"/>
    <w:rsid w:val="00227148"/>
    <w:rsid w:val="0023018A"/>
    <w:rsid w:val="002311AE"/>
    <w:rsid w:val="00231C23"/>
    <w:rsid w:val="00232301"/>
    <w:rsid w:val="00232FF9"/>
    <w:rsid w:val="00233450"/>
    <w:rsid w:val="00233466"/>
    <w:rsid w:val="00234312"/>
    <w:rsid w:val="00234335"/>
    <w:rsid w:val="002346D0"/>
    <w:rsid w:val="00235015"/>
    <w:rsid w:val="002355D2"/>
    <w:rsid w:val="00236984"/>
    <w:rsid w:val="00237884"/>
    <w:rsid w:val="00237938"/>
    <w:rsid w:val="002379BB"/>
    <w:rsid w:val="00237B61"/>
    <w:rsid w:val="00237BB9"/>
    <w:rsid w:val="0024146B"/>
    <w:rsid w:val="002421FF"/>
    <w:rsid w:val="0024336B"/>
    <w:rsid w:val="00243ECE"/>
    <w:rsid w:val="00244AFA"/>
    <w:rsid w:val="00244BC4"/>
    <w:rsid w:val="00244D10"/>
    <w:rsid w:val="00245478"/>
    <w:rsid w:val="002455CB"/>
    <w:rsid w:val="00245DC2"/>
    <w:rsid w:val="0024623A"/>
    <w:rsid w:val="00247941"/>
    <w:rsid w:val="00250AE3"/>
    <w:rsid w:val="00250D7E"/>
    <w:rsid w:val="0025111E"/>
    <w:rsid w:val="00253D5D"/>
    <w:rsid w:val="0025435C"/>
    <w:rsid w:val="00254371"/>
    <w:rsid w:val="0025585A"/>
    <w:rsid w:val="00256233"/>
    <w:rsid w:val="0025737C"/>
    <w:rsid w:val="002573AC"/>
    <w:rsid w:val="00260548"/>
    <w:rsid w:val="00260640"/>
    <w:rsid w:val="0026123F"/>
    <w:rsid w:val="00261596"/>
    <w:rsid w:val="00263B34"/>
    <w:rsid w:val="00264C31"/>
    <w:rsid w:val="00265280"/>
    <w:rsid w:val="00265A33"/>
    <w:rsid w:val="0026609F"/>
    <w:rsid w:val="002661BC"/>
    <w:rsid w:val="00266BD4"/>
    <w:rsid w:val="00267AD8"/>
    <w:rsid w:val="00267BD6"/>
    <w:rsid w:val="00267E4F"/>
    <w:rsid w:val="00270A4A"/>
    <w:rsid w:val="0027264B"/>
    <w:rsid w:val="002729BF"/>
    <w:rsid w:val="00273299"/>
    <w:rsid w:val="00276C28"/>
    <w:rsid w:val="00276EDD"/>
    <w:rsid w:val="0027778E"/>
    <w:rsid w:val="002777BB"/>
    <w:rsid w:val="00277B28"/>
    <w:rsid w:val="002809D4"/>
    <w:rsid w:val="00280C8B"/>
    <w:rsid w:val="00281295"/>
    <w:rsid w:val="002826A2"/>
    <w:rsid w:val="00282832"/>
    <w:rsid w:val="0028366E"/>
    <w:rsid w:val="00283D20"/>
    <w:rsid w:val="00285167"/>
    <w:rsid w:val="002852CE"/>
    <w:rsid w:val="00285551"/>
    <w:rsid w:val="00286739"/>
    <w:rsid w:val="00286F3F"/>
    <w:rsid w:val="002875B2"/>
    <w:rsid w:val="002901C9"/>
    <w:rsid w:val="0029143C"/>
    <w:rsid w:val="0029175E"/>
    <w:rsid w:val="00291A36"/>
    <w:rsid w:val="00292E73"/>
    <w:rsid w:val="0029326A"/>
    <w:rsid w:val="002932B4"/>
    <w:rsid w:val="00293738"/>
    <w:rsid w:val="00293A81"/>
    <w:rsid w:val="00294236"/>
    <w:rsid w:val="00295591"/>
    <w:rsid w:val="00296116"/>
    <w:rsid w:val="00296A25"/>
    <w:rsid w:val="00296BDF"/>
    <w:rsid w:val="00296CF3"/>
    <w:rsid w:val="00296EE4"/>
    <w:rsid w:val="00297054"/>
    <w:rsid w:val="00297DCC"/>
    <w:rsid w:val="002A0BA0"/>
    <w:rsid w:val="002A189E"/>
    <w:rsid w:val="002A1D7C"/>
    <w:rsid w:val="002A4363"/>
    <w:rsid w:val="002A4866"/>
    <w:rsid w:val="002A4A5A"/>
    <w:rsid w:val="002A66CB"/>
    <w:rsid w:val="002A680D"/>
    <w:rsid w:val="002A6FBB"/>
    <w:rsid w:val="002A730B"/>
    <w:rsid w:val="002B2921"/>
    <w:rsid w:val="002B3016"/>
    <w:rsid w:val="002B370E"/>
    <w:rsid w:val="002B4D8B"/>
    <w:rsid w:val="002B4EDE"/>
    <w:rsid w:val="002B6407"/>
    <w:rsid w:val="002B68A5"/>
    <w:rsid w:val="002B6CC1"/>
    <w:rsid w:val="002B7141"/>
    <w:rsid w:val="002B78DD"/>
    <w:rsid w:val="002B7CE9"/>
    <w:rsid w:val="002B7E10"/>
    <w:rsid w:val="002C1016"/>
    <w:rsid w:val="002C3344"/>
    <w:rsid w:val="002C3EFA"/>
    <w:rsid w:val="002C4B11"/>
    <w:rsid w:val="002C52B2"/>
    <w:rsid w:val="002C5506"/>
    <w:rsid w:val="002C5728"/>
    <w:rsid w:val="002C6EDC"/>
    <w:rsid w:val="002C706C"/>
    <w:rsid w:val="002C74C5"/>
    <w:rsid w:val="002C788C"/>
    <w:rsid w:val="002D0607"/>
    <w:rsid w:val="002D0B7B"/>
    <w:rsid w:val="002D0EEF"/>
    <w:rsid w:val="002D165F"/>
    <w:rsid w:val="002D258F"/>
    <w:rsid w:val="002D39F5"/>
    <w:rsid w:val="002D40A7"/>
    <w:rsid w:val="002D4709"/>
    <w:rsid w:val="002D4ACD"/>
    <w:rsid w:val="002D4DD8"/>
    <w:rsid w:val="002D566A"/>
    <w:rsid w:val="002D5C26"/>
    <w:rsid w:val="002D62FC"/>
    <w:rsid w:val="002D65F6"/>
    <w:rsid w:val="002D6A16"/>
    <w:rsid w:val="002D6EAC"/>
    <w:rsid w:val="002D7875"/>
    <w:rsid w:val="002D7ADE"/>
    <w:rsid w:val="002D7F4A"/>
    <w:rsid w:val="002E0652"/>
    <w:rsid w:val="002E0A05"/>
    <w:rsid w:val="002E193B"/>
    <w:rsid w:val="002E1A6E"/>
    <w:rsid w:val="002E2508"/>
    <w:rsid w:val="002E37EA"/>
    <w:rsid w:val="002E38E4"/>
    <w:rsid w:val="002E4196"/>
    <w:rsid w:val="002E4455"/>
    <w:rsid w:val="002E4ED0"/>
    <w:rsid w:val="002E536D"/>
    <w:rsid w:val="002E57E3"/>
    <w:rsid w:val="002E5D69"/>
    <w:rsid w:val="002E6291"/>
    <w:rsid w:val="002E674B"/>
    <w:rsid w:val="002E76D9"/>
    <w:rsid w:val="002F0168"/>
    <w:rsid w:val="002F0314"/>
    <w:rsid w:val="002F0D07"/>
    <w:rsid w:val="002F1787"/>
    <w:rsid w:val="002F3F27"/>
    <w:rsid w:val="002F4094"/>
    <w:rsid w:val="002F4D63"/>
    <w:rsid w:val="002F51A9"/>
    <w:rsid w:val="002F53C2"/>
    <w:rsid w:val="002F5787"/>
    <w:rsid w:val="002F63AD"/>
    <w:rsid w:val="00301E5E"/>
    <w:rsid w:val="0030239C"/>
    <w:rsid w:val="00302E84"/>
    <w:rsid w:val="00306EBD"/>
    <w:rsid w:val="003074DF"/>
    <w:rsid w:val="00311940"/>
    <w:rsid w:val="00311AAE"/>
    <w:rsid w:val="00311D7F"/>
    <w:rsid w:val="00312C98"/>
    <w:rsid w:val="0031338C"/>
    <w:rsid w:val="003137E2"/>
    <w:rsid w:val="003139E4"/>
    <w:rsid w:val="00314734"/>
    <w:rsid w:val="00314D93"/>
    <w:rsid w:val="0031666A"/>
    <w:rsid w:val="00316CEF"/>
    <w:rsid w:val="00316F9A"/>
    <w:rsid w:val="003172E5"/>
    <w:rsid w:val="0031740A"/>
    <w:rsid w:val="0031769D"/>
    <w:rsid w:val="00317E86"/>
    <w:rsid w:val="003201A8"/>
    <w:rsid w:val="00320C1F"/>
    <w:rsid w:val="00322322"/>
    <w:rsid w:val="00322D1B"/>
    <w:rsid w:val="00322F1C"/>
    <w:rsid w:val="00323DAF"/>
    <w:rsid w:val="003248FB"/>
    <w:rsid w:val="00324CAD"/>
    <w:rsid w:val="0032566F"/>
    <w:rsid w:val="00325ADD"/>
    <w:rsid w:val="00325E7B"/>
    <w:rsid w:val="0032612D"/>
    <w:rsid w:val="0032711C"/>
    <w:rsid w:val="003271BD"/>
    <w:rsid w:val="0032734C"/>
    <w:rsid w:val="003273E1"/>
    <w:rsid w:val="00327BB2"/>
    <w:rsid w:val="0033060C"/>
    <w:rsid w:val="0033119E"/>
    <w:rsid w:val="0033189A"/>
    <w:rsid w:val="003319BB"/>
    <w:rsid w:val="00331E06"/>
    <w:rsid w:val="00332780"/>
    <w:rsid w:val="00333E48"/>
    <w:rsid w:val="00334342"/>
    <w:rsid w:val="00334997"/>
    <w:rsid w:val="00336E5C"/>
    <w:rsid w:val="003377C8"/>
    <w:rsid w:val="0033794D"/>
    <w:rsid w:val="00337C61"/>
    <w:rsid w:val="00340416"/>
    <w:rsid w:val="00341C39"/>
    <w:rsid w:val="003433A5"/>
    <w:rsid w:val="0034440F"/>
    <w:rsid w:val="0034471E"/>
    <w:rsid w:val="00345514"/>
    <w:rsid w:val="00345A0D"/>
    <w:rsid w:val="003466E5"/>
    <w:rsid w:val="00346742"/>
    <w:rsid w:val="003477DE"/>
    <w:rsid w:val="0035024E"/>
    <w:rsid w:val="00350B15"/>
    <w:rsid w:val="00350C89"/>
    <w:rsid w:val="0035150E"/>
    <w:rsid w:val="00351F48"/>
    <w:rsid w:val="0035206C"/>
    <w:rsid w:val="00352725"/>
    <w:rsid w:val="0035284D"/>
    <w:rsid w:val="00353868"/>
    <w:rsid w:val="00353E3A"/>
    <w:rsid w:val="00354267"/>
    <w:rsid w:val="00354676"/>
    <w:rsid w:val="00355806"/>
    <w:rsid w:val="00356178"/>
    <w:rsid w:val="003565E6"/>
    <w:rsid w:val="00356ABC"/>
    <w:rsid w:val="00356D2F"/>
    <w:rsid w:val="00356DFC"/>
    <w:rsid w:val="003573AE"/>
    <w:rsid w:val="00357AA6"/>
    <w:rsid w:val="00357CC0"/>
    <w:rsid w:val="00357DDA"/>
    <w:rsid w:val="00361AC4"/>
    <w:rsid w:val="003620C8"/>
    <w:rsid w:val="00362B50"/>
    <w:rsid w:val="00362E0D"/>
    <w:rsid w:val="0036395E"/>
    <w:rsid w:val="003639B6"/>
    <w:rsid w:val="00364F72"/>
    <w:rsid w:val="003660DB"/>
    <w:rsid w:val="003664DD"/>
    <w:rsid w:val="00367035"/>
    <w:rsid w:val="00370173"/>
    <w:rsid w:val="00370473"/>
    <w:rsid w:val="00370504"/>
    <w:rsid w:val="00370AB0"/>
    <w:rsid w:val="00371364"/>
    <w:rsid w:val="00371DEC"/>
    <w:rsid w:val="0037369C"/>
    <w:rsid w:val="003737C8"/>
    <w:rsid w:val="003743F9"/>
    <w:rsid w:val="003749B5"/>
    <w:rsid w:val="00374E8E"/>
    <w:rsid w:val="00376E92"/>
    <w:rsid w:val="003776B9"/>
    <w:rsid w:val="00380723"/>
    <w:rsid w:val="00380C43"/>
    <w:rsid w:val="00381EDB"/>
    <w:rsid w:val="00382428"/>
    <w:rsid w:val="00382704"/>
    <w:rsid w:val="00382AEC"/>
    <w:rsid w:val="0038373D"/>
    <w:rsid w:val="003843F1"/>
    <w:rsid w:val="003858CD"/>
    <w:rsid w:val="003859ED"/>
    <w:rsid w:val="00386331"/>
    <w:rsid w:val="0038698E"/>
    <w:rsid w:val="00386D0F"/>
    <w:rsid w:val="0038736F"/>
    <w:rsid w:val="00387AB3"/>
    <w:rsid w:val="00387B18"/>
    <w:rsid w:val="003905D5"/>
    <w:rsid w:val="0039065F"/>
    <w:rsid w:val="00391405"/>
    <w:rsid w:val="00391C3F"/>
    <w:rsid w:val="003927A2"/>
    <w:rsid w:val="00392B2D"/>
    <w:rsid w:val="00392F05"/>
    <w:rsid w:val="00393662"/>
    <w:rsid w:val="003942A2"/>
    <w:rsid w:val="00394391"/>
    <w:rsid w:val="0039471F"/>
    <w:rsid w:val="00394918"/>
    <w:rsid w:val="003951C2"/>
    <w:rsid w:val="003953A0"/>
    <w:rsid w:val="003956DF"/>
    <w:rsid w:val="003960D1"/>
    <w:rsid w:val="003963C3"/>
    <w:rsid w:val="003970CB"/>
    <w:rsid w:val="00397FA1"/>
    <w:rsid w:val="003A2107"/>
    <w:rsid w:val="003A23FE"/>
    <w:rsid w:val="003A3D28"/>
    <w:rsid w:val="003A53D3"/>
    <w:rsid w:val="003A5DF7"/>
    <w:rsid w:val="003A69F2"/>
    <w:rsid w:val="003A6C87"/>
    <w:rsid w:val="003A6E35"/>
    <w:rsid w:val="003A7309"/>
    <w:rsid w:val="003B254C"/>
    <w:rsid w:val="003B2CA1"/>
    <w:rsid w:val="003B33EE"/>
    <w:rsid w:val="003C1E47"/>
    <w:rsid w:val="003C3B20"/>
    <w:rsid w:val="003C494E"/>
    <w:rsid w:val="003C4D5C"/>
    <w:rsid w:val="003C6BDD"/>
    <w:rsid w:val="003C6FFD"/>
    <w:rsid w:val="003C756F"/>
    <w:rsid w:val="003C761E"/>
    <w:rsid w:val="003D03C9"/>
    <w:rsid w:val="003D09EB"/>
    <w:rsid w:val="003D0C0F"/>
    <w:rsid w:val="003D10CF"/>
    <w:rsid w:val="003D13BD"/>
    <w:rsid w:val="003D1718"/>
    <w:rsid w:val="003D1E09"/>
    <w:rsid w:val="003D30A4"/>
    <w:rsid w:val="003D3168"/>
    <w:rsid w:val="003D43B3"/>
    <w:rsid w:val="003D4A4D"/>
    <w:rsid w:val="003D572B"/>
    <w:rsid w:val="003D5A25"/>
    <w:rsid w:val="003D5B2F"/>
    <w:rsid w:val="003D5E2E"/>
    <w:rsid w:val="003E08CA"/>
    <w:rsid w:val="003E106D"/>
    <w:rsid w:val="003E15A2"/>
    <w:rsid w:val="003E2253"/>
    <w:rsid w:val="003E2380"/>
    <w:rsid w:val="003E2690"/>
    <w:rsid w:val="003E3BD6"/>
    <w:rsid w:val="003E3F36"/>
    <w:rsid w:val="003E51FF"/>
    <w:rsid w:val="003E52C8"/>
    <w:rsid w:val="003E532D"/>
    <w:rsid w:val="003E5ECD"/>
    <w:rsid w:val="003E61D2"/>
    <w:rsid w:val="003E6B06"/>
    <w:rsid w:val="003E6C9D"/>
    <w:rsid w:val="003E78D2"/>
    <w:rsid w:val="003E78E4"/>
    <w:rsid w:val="003E79BB"/>
    <w:rsid w:val="003F023E"/>
    <w:rsid w:val="003F04E9"/>
    <w:rsid w:val="003F36F8"/>
    <w:rsid w:val="003F3F53"/>
    <w:rsid w:val="003F4E36"/>
    <w:rsid w:val="003F5036"/>
    <w:rsid w:val="003F6037"/>
    <w:rsid w:val="003F606E"/>
    <w:rsid w:val="003F667F"/>
    <w:rsid w:val="003F7619"/>
    <w:rsid w:val="00400B42"/>
    <w:rsid w:val="00401DFB"/>
    <w:rsid w:val="00401FF6"/>
    <w:rsid w:val="00402208"/>
    <w:rsid w:val="00402488"/>
    <w:rsid w:val="00402677"/>
    <w:rsid w:val="0040344B"/>
    <w:rsid w:val="0040358C"/>
    <w:rsid w:val="004041DC"/>
    <w:rsid w:val="004044E0"/>
    <w:rsid w:val="0040468C"/>
    <w:rsid w:val="0040484C"/>
    <w:rsid w:val="0040498B"/>
    <w:rsid w:val="00404FFA"/>
    <w:rsid w:val="00405D0C"/>
    <w:rsid w:val="00406983"/>
    <w:rsid w:val="00406F5C"/>
    <w:rsid w:val="004071A1"/>
    <w:rsid w:val="00407D7F"/>
    <w:rsid w:val="004113FC"/>
    <w:rsid w:val="0041161F"/>
    <w:rsid w:val="00411F34"/>
    <w:rsid w:val="004122CF"/>
    <w:rsid w:val="004127BD"/>
    <w:rsid w:val="00412E02"/>
    <w:rsid w:val="0041369D"/>
    <w:rsid w:val="004138C7"/>
    <w:rsid w:val="00413F03"/>
    <w:rsid w:val="00415248"/>
    <w:rsid w:val="004154CD"/>
    <w:rsid w:val="00416E1A"/>
    <w:rsid w:val="0041708A"/>
    <w:rsid w:val="00417585"/>
    <w:rsid w:val="0041758A"/>
    <w:rsid w:val="00417F28"/>
    <w:rsid w:val="00420A95"/>
    <w:rsid w:val="00420D0B"/>
    <w:rsid w:val="00421353"/>
    <w:rsid w:val="00421824"/>
    <w:rsid w:val="00422EEF"/>
    <w:rsid w:val="0042366A"/>
    <w:rsid w:val="00423CB3"/>
    <w:rsid w:val="00424CF8"/>
    <w:rsid w:val="00424E58"/>
    <w:rsid w:val="00424EAC"/>
    <w:rsid w:val="004255A3"/>
    <w:rsid w:val="004258BC"/>
    <w:rsid w:val="00425F69"/>
    <w:rsid w:val="00426333"/>
    <w:rsid w:val="00426C34"/>
    <w:rsid w:val="00426C9C"/>
    <w:rsid w:val="00426D31"/>
    <w:rsid w:val="00427473"/>
    <w:rsid w:val="00427E3A"/>
    <w:rsid w:val="004305E4"/>
    <w:rsid w:val="00430CEF"/>
    <w:rsid w:val="00430E9C"/>
    <w:rsid w:val="00430F5F"/>
    <w:rsid w:val="004325F0"/>
    <w:rsid w:val="00433627"/>
    <w:rsid w:val="0043402F"/>
    <w:rsid w:val="0043468C"/>
    <w:rsid w:val="00434BCE"/>
    <w:rsid w:val="00434C00"/>
    <w:rsid w:val="0043579C"/>
    <w:rsid w:val="0043616F"/>
    <w:rsid w:val="00437006"/>
    <w:rsid w:val="00437688"/>
    <w:rsid w:val="004407CC"/>
    <w:rsid w:val="00440800"/>
    <w:rsid w:val="0044216B"/>
    <w:rsid w:val="00442791"/>
    <w:rsid w:val="00442961"/>
    <w:rsid w:val="00443A49"/>
    <w:rsid w:val="00443D35"/>
    <w:rsid w:val="0044463D"/>
    <w:rsid w:val="00444FD7"/>
    <w:rsid w:val="004458CA"/>
    <w:rsid w:val="00445C75"/>
    <w:rsid w:val="00446B63"/>
    <w:rsid w:val="00446C56"/>
    <w:rsid w:val="0045027F"/>
    <w:rsid w:val="00450281"/>
    <w:rsid w:val="00450369"/>
    <w:rsid w:val="0045095B"/>
    <w:rsid w:val="004510C2"/>
    <w:rsid w:val="00451182"/>
    <w:rsid w:val="0045119A"/>
    <w:rsid w:val="004519A2"/>
    <w:rsid w:val="0045224D"/>
    <w:rsid w:val="00452786"/>
    <w:rsid w:val="00452E79"/>
    <w:rsid w:val="004536B8"/>
    <w:rsid w:val="004542B5"/>
    <w:rsid w:val="00454FD2"/>
    <w:rsid w:val="0045542F"/>
    <w:rsid w:val="00455ABC"/>
    <w:rsid w:val="00456E52"/>
    <w:rsid w:val="004571CC"/>
    <w:rsid w:val="0045759F"/>
    <w:rsid w:val="00457B2F"/>
    <w:rsid w:val="004604AD"/>
    <w:rsid w:val="0046055E"/>
    <w:rsid w:val="00460729"/>
    <w:rsid w:val="0046081F"/>
    <w:rsid w:val="00460A7B"/>
    <w:rsid w:val="00460A87"/>
    <w:rsid w:val="004632F9"/>
    <w:rsid w:val="00463413"/>
    <w:rsid w:val="00463EA4"/>
    <w:rsid w:val="00465AA9"/>
    <w:rsid w:val="00465F1A"/>
    <w:rsid w:val="00465F47"/>
    <w:rsid w:val="00466510"/>
    <w:rsid w:val="00466C25"/>
    <w:rsid w:val="004675C2"/>
    <w:rsid w:val="0047012A"/>
    <w:rsid w:val="004702E1"/>
    <w:rsid w:val="00470768"/>
    <w:rsid w:val="0047210D"/>
    <w:rsid w:val="00472B0D"/>
    <w:rsid w:val="00472D68"/>
    <w:rsid w:val="00472F70"/>
    <w:rsid w:val="004741A1"/>
    <w:rsid w:val="00474248"/>
    <w:rsid w:val="004749BD"/>
    <w:rsid w:val="0047511D"/>
    <w:rsid w:val="00475EF7"/>
    <w:rsid w:val="004810FB"/>
    <w:rsid w:val="0048369D"/>
    <w:rsid w:val="004838AE"/>
    <w:rsid w:val="00483C60"/>
    <w:rsid w:val="004841AA"/>
    <w:rsid w:val="004842FB"/>
    <w:rsid w:val="00484B5F"/>
    <w:rsid w:val="00484E4B"/>
    <w:rsid w:val="00485214"/>
    <w:rsid w:val="0048575B"/>
    <w:rsid w:val="00485E39"/>
    <w:rsid w:val="00486603"/>
    <w:rsid w:val="00486609"/>
    <w:rsid w:val="004876A2"/>
    <w:rsid w:val="0049025B"/>
    <w:rsid w:val="0049165E"/>
    <w:rsid w:val="00491CB1"/>
    <w:rsid w:val="00491F8A"/>
    <w:rsid w:val="00492AF1"/>
    <w:rsid w:val="00493B68"/>
    <w:rsid w:val="00495849"/>
    <w:rsid w:val="004958F7"/>
    <w:rsid w:val="00495C5A"/>
    <w:rsid w:val="0049624A"/>
    <w:rsid w:val="0049630B"/>
    <w:rsid w:val="00496D23"/>
    <w:rsid w:val="004977D3"/>
    <w:rsid w:val="004977DC"/>
    <w:rsid w:val="004A07CE"/>
    <w:rsid w:val="004A1DEF"/>
    <w:rsid w:val="004A50C0"/>
    <w:rsid w:val="004A51E9"/>
    <w:rsid w:val="004A69FB"/>
    <w:rsid w:val="004A6BFC"/>
    <w:rsid w:val="004A75FE"/>
    <w:rsid w:val="004B0A96"/>
    <w:rsid w:val="004B0D14"/>
    <w:rsid w:val="004B0D72"/>
    <w:rsid w:val="004B244E"/>
    <w:rsid w:val="004B291C"/>
    <w:rsid w:val="004B2E36"/>
    <w:rsid w:val="004B3788"/>
    <w:rsid w:val="004B4447"/>
    <w:rsid w:val="004B50D9"/>
    <w:rsid w:val="004B5545"/>
    <w:rsid w:val="004B573E"/>
    <w:rsid w:val="004B6306"/>
    <w:rsid w:val="004B65C7"/>
    <w:rsid w:val="004B6AB4"/>
    <w:rsid w:val="004B70E0"/>
    <w:rsid w:val="004B70F3"/>
    <w:rsid w:val="004B7BC2"/>
    <w:rsid w:val="004C1416"/>
    <w:rsid w:val="004C1C2D"/>
    <w:rsid w:val="004C26CB"/>
    <w:rsid w:val="004C39F2"/>
    <w:rsid w:val="004C443D"/>
    <w:rsid w:val="004C44FA"/>
    <w:rsid w:val="004C5057"/>
    <w:rsid w:val="004C6510"/>
    <w:rsid w:val="004C65C2"/>
    <w:rsid w:val="004C67FD"/>
    <w:rsid w:val="004C6AEC"/>
    <w:rsid w:val="004C7D08"/>
    <w:rsid w:val="004D0239"/>
    <w:rsid w:val="004D0B22"/>
    <w:rsid w:val="004D0CD7"/>
    <w:rsid w:val="004D18E3"/>
    <w:rsid w:val="004D1B60"/>
    <w:rsid w:val="004D21F5"/>
    <w:rsid w:val="004D357E"/>
    <w:rsid w:val="004D3D9C"/>
    <w:rsid w:val="004D3F6B"/>
    <w:rsid w:val="004D4EF0"/>
    <w:rsid w:val="004D51A5"/>
    <w:rsid w:val="004D5415"/>
    <w:rsid w:val="004D67AB"/>
    <w:rsid w:val="004D6C9C"/>
    <w:rsid w:val="004D7250"/>
    <w:rsid w:val="004D7B57"/>
    <w:rsid w:val="004E1BAD"/>
    <w:rsid w:val="004E1EE1"/>
    <w:rsid w:val="004E2364"/>
    <w:rsid w:val="004E3290"/>
    <w:rsid w:val="004E3875"/>
    <w:rsid w:val="004E5167"/>
    <w:rsid w:val="004E5BA4"/>
    <w:rsid w:val="004E6483"/>
    <w:rsid w:val="004E6654"/>
    <w:rsid w:val="004E6C6B"/>
    <w:rsid w:val="004E7813"/>
    <w:rsid w:val="004E78DB"/>
    <w:rsid w:val="004F0D4A"/>
    <w:rsid w:val="004F0F92"/>
    <w:rsid w:val="004F3DC5"/>
    <w:rsid w:val="004F544E"/>
    <w:rsid w:val="004F6678"/>
    <w:rsid w:val="004F6D83"/>
    <w:rsid w:val="004F7814"/>
    <w:rsid w:val="00500898"/>
    <w:rsid w:val="005037E4"/>
    <w:rsid w:val="00503878"/>
    <w:rsid w:val="005047FC"/>
    <w:rsid w:val="00504963"/>
    <w:rsid w:val="00506B9A"/>
    <w:rsid w:val="0050751C"/>
    <w:rsid w:val="0050790D"/>
    <w:rsid w:val="00507ADA"/>
    <w:rsid w:val="005106C5"/>
    <w:rsid w:val="00510E2A"/>
    <w:rsid w:val="00511112"/>
    <w:rsid w:val="0051180F"/>
    <w:rsid w:val="00511837"/>
    <w:rsid w:val="00511FEE"/>
    <w:rsid w:val="0051337A"/>
    <w:rsid w:val="0051431A"/>
    <w:rsid w:val="00514B99"/>
    <w:rsid w:val="00515AB0"/>
    <w:rsid w:val="00516D39"/>
    <w:rsid w:val="00516FC2"/>
    <w:rsid w:val="00517318"/>
    <w:rsid w:val="0051738E"/>
    <w:rsid w:val="00517845"/>
    <w:rsid w:val="00517ECD"/>
    <w:rsid w:val="00520145"/>
    <w:rsid w:val="005202BE"/>
    <w:rsid w:val="00520486"/>
    <w:rsid w:val="00520968"/>
    <w:rsid w:val="005216E1"/>
    <w:rsid w:val="00522EDC"/>
    <w:rsid w:val="00523A01"/>
    <w:rsid w:val="00523F64"/>
    <w:rsid w:val="005240D9"/>
    <w:rsid w:val="005242FC"/>
    <w:rsid w:val="00524552"/>
    <w:rsid w:val="0052492E"/>
    <w:rsid w:val="00524D59"/>
    <w:rsid w:val="00524EC8"/>
    <w:rsid w:val="005257C1"/>
    <w:rsid w:val="005257D2"/>
    <w:rsid w:val="00526081"/>
    <w:rsid w:val="00526FF1"/>
    <w:rsid w:val="00527731"/>
    <w:rsid w:val="0052786F"/>
    <w:rsid w:val="005279B5"/>
    <w:rsid w:val="00530122"/>
    <w:rsid w:val="0053033E"/>
    <w:rsid w:val="00530706"/>
    <w:rsid w:val="00530E9C"/>
    <w:rsid w:val="00530F08"/>
    <w:rsid w:val="00532DA0"/>
    <w:rsid w:val="00533345"/>
    <w:rsid w:val="005339E7"/>
    <w:rsid w:val="00534396"/>
    <w:rsid w:val="005347F9"/>
    <w:rsid w:val="005354AC"/>
    <w:rsid w:val="00535B95"/>
    <w:rsid w:val="00535C4C"/>
    <w:rsid w:val="00536D2E"/>
    <w:rsid w:val="00537CD5"/>
    <w:rsid w:val="00537FAD"/>
    <w:rsid w:val="00540218"/>
    <w:rsid w:val="005408CF"/>
    <w:rsid w:val="0054105C"/>
    <w:rsid w:val="00541090"/>
    <w:rsid w:val="0054146F"/>
    <w:rsid w:val="00541B50"/>
    <w:rsid w:val="005424F8"/>
    <w:rsid w:val="005430B0"/>
    <w:rsid w:val="00543106"/>
    <w:rsid w:val="00543361"/>
    <w:rsid w:val="005436B3"/>
    <w:rsid w:val="00543B44"/>
    <w:rsid w:val="00543FAD"/>
    <w:rsid w:val="00543FC0"/>
    <w:rsid w:val="00544E5D"/>
    <w:rsid w:val="005450E3"/>
    <w:rsid w:val="00545C2F"/>
    <w:rsid w:val="00545D04"/>
    <w:rsid w:val="00546330"/>
    <w:rsid w:val="00546686"/>
    <w:rsid w:val="00546FE0"/>
    <w:rsid w:val="00550818"/>
    <w:rsid w:val="00550DC6"/>
    <w:rsid w:val="005510AB"/>
    <w:rsid w:val="005517FC"/>
    <w:rsid w:val="005522CE"/>
    <w:rsid w:val="00552465"/>
    <w:rsid w:val="00552E5D"/>
    <w:rsid w:val="0055340F"/>
    <w:rsid w:val="0055433D"/>
    <w:rsid w:val="00554F55"/>
    <w:rsid w:val="0055648F"/>
    <w:rsid w:val="00556E3A"/>
    <w:rsid w:val="0055701E"/>
    <w:rsid w:val="005579B4"/>
    <w:rsid w:val="00557BF1"/>
    <w:rsid w:val="0056067D"/>
    <w:rsid w:val="00560EBA"/>
    <w:rsid w:val="00561FCF"/>
    <w:rsid w:val="00562215"/>
    <w:rsid w:val="00562D5A"/>
    <w:rsid w:val="005638D7"/>
    <w:rsid w:val="005649CD"/>
    <w:rsid w:val="00564F01"/>
    <w:rsid w:val="005659B6"/>
    <w:rsid w:val="00565DD9"/>
    <w:rsid w:val="00566978"/>
    <w:rsid w:val="00567380"/>
    <w:rsid w:val="005677E7"/>
    <w:rsid w:val="005700D5"/>
    <w:rsid w:val="005703A7"/>
    <w:rsid w:val="005709E8"/>
    <w:rsid w:val="00570C55"/>
    <w:rsid w:val="0057177A"/>
    <w:rsid w:val="00572B45"/>
    <w:rsid w:val="00573C36"/>
    <w:rsid w:val="00573FF2"/>
    <w:rsid w:val="0057624E"/>
    <w:rsid w:val="00576A20"/>
    <w:rsid w:val="00576A4A"/>
    <w:rsid w:val="00577465"/>
    <w:rsid w:val="00577A43"/>
    <w:rsid w:val="00577FAF"/>
    <w:rsid w:val="0058116F"/>
    <w:rsid w:val="00582052"/>
    <w:rsid w:val="00582956"/>
    <w:rsid w:val="00584247"/>
    <w:rsid w:val="00584654"/>
    <w:rsid w:val="005847BF"/>
    <w:rsid w:val="005853E5"/>
    <w:rsid w:val="00585E31"/>
    <w:rsid w:val="00586365"/>
    <w:rsid w:val="005863B9"/>
    <w:rsid w:val="005865C6"/>
    <w:rsid w:val="005904E1"/>
    <w:rsid w:val="0059080E"/>
    <w:rsid w:val="005909B4"/>
    <w:rsid w:val="0059137A"/>
    <w:rsid w:val="005913EB"/>
    <w:rsid w:val="00591459"/>
    <w:rsid w:val="00593224"/>
    <w:rsid w:val="00593721"/>
    <w:rsid w:val="00593829"/>
    <w:rsid w:val="00593FB5"/>
    <w:rsid w:val="00594C28"/>
    <w:rsid w:val="0059507D"/>
    <w:rsid w:val="0059552A"/>
    <w:rsid w:val="00595682"/>
    <w:rsid w:val="00595F32"/>
    <w:rsid w:val="00596A01"/>
    <w:rsid w:val="005A02B2"/>
    <w:rsid w:val="005A0416"/>
    <w:rsid w:val="005A0945"/>
    <w:rsid w:val="005A15DD"/>
    <w:rsid w:val="005A2844"/>
    <w:rsid w:val="005A2A01"/>
    <w:rsid w:val="005A308C"/>
    <w:rsid w:val="005A60A8"/>
    <w:rsid w:val="005A61AA"/>
    <w:rsid w:val="005A700F"/>
    <w:rsid w:val="005A7B55"/>
    <w:rsid w:val="005B080C"/>
    <w:rsid w:val="005B0F4C"/>
    <w:rsid w:val="005B35CB"/>
    <w:rsid w:val="005B3FFC"/>
    <w:rsid w:val="005B43DC"/>
    <w:rsid w:val="005B5ECF"/>
    <w:rsid w:val="005B6DB5"/>
    <w:rsid w:val="005B720E"/>
    <w:rsid w:val="005B7326"/>
    <w:rsid w:val="005B7EA6"/>
    <w:rsid w:val="005C06C9"/>
    <w:rsid w:val="005C0C4D"/>
    <w:rsid w:val="005C1451"/>
    <w:rsid w:val="005C17D5"/>
    <w:rsid w:val="005C1B16"/>
    <w:rsid w:val="005C1BB1"/>
    <w:rsid w:val="005C3B40"/>
    <w:rsid w:val="005C4541"/>
    <w:rsid w:val="005C4566"/>
    <w:rsid w:val="005C495C"/>
    <w:rsid w:val="005C52C9"/>
    <w:rsid w:val="005C6DF9"/>
    <w:rsid w:val="005C6E05"/>
    <w:rsid w:val="005C791E"/>
    <w:rsid w:val="005C7E1D"/>
    <w:rsid w:val="005C7F3E"/>
    <w:rsid w:val="005D061E"/>
    <w:rsid w:val="005D09B8"/>
    <w:rsid w:val="005D0BDE"/>
    <w:rsid w:val="005D15E9"/>
    <w:rsid w:val="005D1CFA"/>
    <w:rsid w:val="005D2283"/>
    <w:rsid w:val="005D2782"/>
    <w:rsid w:val="005D2841"/>
    <w:rsid w:val="005D2AC6"/>
    <w:rsid w:val="005D31F5"/>
    <w:rsid w:val="005D3F9F"/>
    <w:rsid w:val="005D43C6"/>
    <w:rsid w:val="005D465E"/>
    <w:rsid w:val="005D494F"/>
    <w:rsid w:val="005D4AF0"/>
    <w:rsid w:val="005D5981"/>
    <w:rsid w:val="005D6347"/>
    <w:rsid w:val="005D6AE6"/>
    <w:rsid w:val="005D6CAC"/>
    <w:rsid w:val="005D6D01"/>
    <w:rsid w:val="005D70D7"/>
    <w:rsid w:val="005D7AF3"/>
    <w:rsid w:val="005E0760"/>
    <w:rsid w:val="005E0C27"/>
    <w:rsid w:val="005E0D2C"/>
    <w:rsid w:val="005E0DE2"/>
    <w:rsid w:val="005E11B5"/>
    <w:rsid w:val="005E12AA"/>
    <w:rsid w:val="005E1707"/>
    <w:rsid w:val="005E2BB1"/>
    <w:rsid w:val="005E4863"/>
    <w:rsid w:val="005E4E44"/>
    <w:rsid w:val="005E5B7F"/>
    <w:rsid w:val="005E65BF"/>
    <w:rsid w:val="005E65D9"/>
    <w:rsid w:val="005E65E8"/>
    <w:rsid w:val="005E6E5B"/>
    <w:rsid w:val="005E7A18"/>
    <w:rsid w:val="005F05DB"/>
    <w:rsid w:val="005F0A75"/>
    <w:rsid w:val="005F1CAB"/>
    <w:rsid w:val="005F1DB9"/>
    <w:rsid w:val="005F38B4"/>
    <w:rsid w:val="005F43C4"/>
    <w:rsid w:val="005F4538"/>
    <w:rsid w:val="005F491D"/>
    <w:rsid w:val="005F4CE8"/>
    <w:rsid w:val="005F5233"/>
    <w:rsid w:val="005F6441"/>
    <w:rsid w:val="005F7635"/>
    <w:rsid w:val="00600357"/>
    <w:rsid w:val="00600738"/>
    <w:rsid w:val="0060100E"/>
    <w:rsid w:val="0060155A"/>
    <w:rsid w:val="00601848"/>
    <w:rsid w:val="00601862"/>
    <w:rsid w:val="00601FE8"/>
    <w:rsid w:val="00602C13"/>
    <w:rsid w:val="006038E1"/>
    <w:rsid w:val="00603FB6"/>
    <w:rsid w:val="0060510D"/>
    <w:rsid w:val="00605855"/>
    <w:rsid w:val="00606AF7"/>
    <w:rsid w:val="00606C25"/>
    <w:rsid w:val="0060744A"/>
    <w:rsid w:val="00607B38"/>
    <w:rsid w:val="00607F60"/>
    <w:rsid w:val="0061182F"/>
    <w:rsid w:val="006122DE"/>
    <w:rsid w:val="00613158"/>
    <w:rsid w:val="006134ED"/>
    <w:rsid w:val="00613863"/>
    <w:rsid w:val="0061511C"/>
    <w:rsid w:val="00616325"/>
    <w:rsid w:val="00617B58"/>
    <w:rsid w:val="00617F8B"/>
    <w:rsid w:val="00621577"/>
    <w:rsid w:val="00621F20"/>
    <w:rsid w:val="00622160"/>
    <w:rsid w:val="00622381"/>
    <w:rsid w:val="006224E4"/>
    <w:rsid w:val="006225E8"/>
    <w:rsid w:val="00622E2A"/>
    <w:rsid w:val="006230DB"/>
    <w:rsid w:val="00623825"/>
    <w:rsid w:val="0062443A"/>
    <w:rsid w:val="00624899"/>
    <w:rsid w:val="00624D8E"/>
    <w:rsid w:val="00624EFD"/>
    <w:rsid w:val="00625380"/>
    <w:rsid w:val="006264EC"/>
    <w:rsid w:val="00627E78"/>
    <w:rsid w:val="0063068F"/>
    <w:rsid w:val="0063082A"/>
    <w:rsid w:val="00630A06"/>
    <w:rsid w:val="0063168E"/>
    <w:rsid w:val="00631DC8"/>
    <w:rsid w:val="00632BA5"/>
    <w:rsid w:val="00633370"/>
    <w:rsid w:val="006334E7"/>
    <w:rsid w:val="00633C06"/>
    <w:rsid w:val="0063466C"/>
    <w:rsid w:val="00634BFA"/>
    <w:rsid w:val="00635062"/>
    <w:rsid w:val="00637716"/>
    <w:rsid w:val="00642178"/>
    <w:rsid w:val="00642B31"/>
    <w:rsid w:val="00643B20"/>
    <w:rsid w:val="00645311"/>
    <w:rsid w:val="00645688"/>
    <w:rsid w:val="006459C5"/>
    <w:rsid w:val="00645ECF"/>
    <w:rsid w:val="00645F01"/>
    <w:rsid w:val="0064630F"/>
    <w:rsid w:val="00646638"/>
    <w:rsid w:val="00647464"/>
    <w:rsid w:val="00647555"/>
    <w:rsid w:val="006507EF"/>
    <w:rsid w:val="00651A8C"/>
    <w:rsid w:val="006530E9"/>
    <w:rsid w:val="0065394D"/>
    <w:rsid w:val="006540D7"/>
    <w:rsid w:val="00654311"/>
    <w:rsid w:val="00654735"/>
    <w:rsid w:val="0065489B"/>
    <w:rsid w:val="006548FC"/>
    <w:rsid w:val="0065499E"/>
    <w:rsid w:val="0065548C"/>
    <w:rsid w:val="00655AF6"/>
    <w:rsid w:val="00656DF0"/>
    <w:rsid w:val="00657C92"/>
    <w:rsid w:val="00660E64"/>
    <w:rsid w:val="00661497"/>
    <w:rsid w:val="00661830"/>
    <w:rsid w:val="006622E3"/>
    <w:rsid w:val="0066279E"/>
    <w:rsid w:val="00665D40"/>
    <w:rsid w:val="00666EE8"/>
    <w:rsid w:val="00667948"/>
    <w:rsid w:val="006701DF"/>
    <w:rsid w:val="00671019"/>
    <w:rsid w:val="006715C8"/>
    <w:rsid w:val="00671996"/>
    <w:rsid w:val="00671CD2"/>
    <w:rsid w:val="006725F0"/>
    <w:rsid w:val="006729D9"/>
    <w:rsid w:val="00672B21"/>
    <w:rsid w:val="00673007"/>
    <w:rsid w:val="006739C4"/>
    <w:rsid w:val="0067474F"/>
    <w:rsid w:val="0067518E"/>
    <w:rsid w:val="00675EAD"/>
    <w:rsid w:val="006765B7"/>
    <w:rsid w:val="00676727"/>
    <w:rsid w:val="006769D7"/>
    <w:rsid w:val="0067758A"/>
    <w:rsid w:val="0067762C"/>
    <w:rsid w:val="00680687"/>
    <w:rsid w:val="00680944"/>
    <w:rsid w:val="006809B5"/>
    <w:rsid w:val="00680EB5"/>
    <w:rsid w:val="0068216F"/>
    <w:rsid w:val="006821F8"/>
    <w:rsid w:val="00682762"/>
    <w:rsid w:val="00682B40"/>
    <w:rsid w:val="0068385F"/>
    <w:rsid w:val="006842FD"/>
    <w:rsid w:val="00684559"/>
    <w:rsid w:val="0068497F"/>
    <w:rsid w:val="00684AFF"/>
    <w:rsid w:val="00684BC7"/>
    <w:rsid w:val="00684F15"/>
    <w:rsid w:val="006859AB"/>
    <w:rsid w:val="00686261"/>
    <w:rsid w:val="00686F88"/>
    <w:rsid w:val="00687642"/>
    <w:rsid w:val="006877FC"/>
    <w:rsid w:val="00687B7E"/>
    <w:rsid w:val="006900B5"/>
    <w:rsid w:val="006909AB"/>
    <w:rsid w:val="0069176B"/>
    <w:rsid w:val="00692561"/>
    <w:rsid w:val="0069357C"/>
    <w:rsid w:val="00693805"/>
    <w:rsid w:val="00693CC5"/>
    <w:rsid w:val="0069462F"/>
    <w:rsid w:val="00694801"/>
    <w:rsid w:val="0069482E"/>
    <w:rsid w:val="00695C1F"/>
    <w:rsid w:val="00695E25"/>
    <w:rsid w:val="0069607F"/>
    <w:rsid w:val="006960E9"/>
    <w:rsid w:val="00696612"/>
    <w:rsid w:val="00697F8C"/>
    <w:rsid w:val="006A0539"/>
    <w:rsid w:val="006A0691"/>
    <w:rsid w:val="006A074B"/>
    <w:rsid w:val="006A0AD3"/>
    <w:rsid w:val="006A1BE7"/>
    <w:rsid w:val="006A1C04"/>
    <w:rsid w:val="006A36F9"/>
    <w:rsid w:val="006A3B4C"/>
    <w:rsid w:val="006A3D52"/>
    <w:rsid w:val="006A4E72"/>
    <w:rsid w:val="006A5527"/>
    <w:rsid w:val="006A6AB1"/>
    <w:rsid w:val="006A7719"/>
    <w:rsid w:val="006A7D36"/>
    <w:rsid w:val="006B0167"/>
    <w:rsid w:val="006B1128"/>
    <w:rsid w:val="006B120F"/>
    <w:rsid w:val="006B2CAD"/>
    <w:rsid w:val="006B2F0A"/>
    <w:rsid w:val="006B3966"/>
    <w:rsid w:val="006B3FDD"/>
    <w:rsid w:val="006B5799"/>
    <w:rsid w:val="006B6048"/>
    <w:rsid w:val="006B6203"/>
    <w:rsid w:val="006B6C05"/>
    <w:rsid w:val="006B6FC1"/>
    <w:rsid w:val="006B73CE"/>
    <w:rsid w:val="006C094C"/>
    <w:rsid w:val="006C1232"/>
    <w:rsid w:val="006C185A"/>
    <w:rsid w:val="006C1988"/>
    <w:rsid w:val="006C1E49"/>
    <w:rsid w:val="006C2335"/>
    <w:rsid w:val="006C29F5"/>
    <w:rsid w:val="006C2FCE"/>
    <w:rsid w:val="006C4C44"/>
    <w:rsid w:val="006C5300"/>
    <w:rsid w:val="006C5494"/>
    <w:rsid w:val="006C599C"/>
    <w:rsid w:val="006C739A"/>
    <w:rsid w:val="006C77A5"/>
    <w:rsid w:val="006D063C"/>
    <w:rsid w:val="006D186B"/>
    <w:rsid w:val="006D1D51"/>
    <w:rsid w:val="006D1FC0"/>
    <w:rsid w:val="006D2969"/>
    <w:rsid w:val="006D34B0"/>
    <w:rsid w:val="006D36D0"/>
    <w:rsid w:val="006D47C6"/>
    <w:rsid w:val="006D4DAD"/>
    <w:rsid w:val="006D5029"/>
    <w:rsid w:val="006D6456"/>
    <w:rsid w:val="006D66FE"/>
    <w:rsid w:val="006D72F6"/>
    <w:rsid w:val="006D7E6A"/>
    <w:rsid w:val="006D7FAE"/>
    <w:rsid w:val="006E0470"/>
    <w:rsid w:val="006E0555"/>
    <w:rsid w:val="006E05F6"/>
    <w:rsid w:val="006E09FB"/>
    <w:rsid w:val="006E0D8B"/>
    <w:rsid w:val="006E20CC"/>
    <w:rsid w:val="006E2CBC"/>
    <w:rsid w:val="006E2FAE"/>
    <w:rsid w:val="006E3A64"/>
    <w:rsid w:val="006E4770"/>
    <w:rsid w:val="006E581B"/>
    <w:rsid w:val="006E59E2"/>
    <w:rsid w:val="006E5C2D"/>
    <w:rsid w:val="006E64D5"/>
    <w:rsid w:val="006E7990"/>
    <w:rsid w:val="006E7B55"/>
    <w:rsid w:val="006F0C58"/>
    <w:rsid w:val="006F1CFC"/>
    <w:rsid w:val="006F2030"/>
    <w:rsid w:val="006F2266"/>
    <w:rsid w:val="006F2605"/>
    <w:rsid w:val="006F280A"/>
    <w:rsid w:val="006F29B8"/>
    <w:rsid w:val="006F3091"/>
    <w:rsid w:val="006F42F4"/>
    <w:rsid w:val="006F44FB"/>
    <w:rsid w:val="006F4ACD"/>
    <w:rsid w:val="006F536C"/>
    <w:rsid w:val="006F57B6"/>
    <w:rsid w:val="006F5D69"/>
    <w:rsid w:val="006F5EE5"/>
    <w:rsid w:val="006F67A4"/>
    <w:rsid w:val="006F758A"/>
    <w:rsid w:val="006F78D4"/>
    <w:rsid w:val="006F7F20"/>
    <w:rsid w:val="007007D4"/>
    <w:rsid w:val="00700AF2"/>
    <w:rsid w:val="0070121D"/>
    <w:rsid w:val="007014CE"/>
    <w:rsid w:val="007017C5"/>
    <w:rsid w:val="00701E4D"/>
    <w:rsid w:val="007026FF"/>
    <w:rsid w:val="00702ADB"/>
    <w:rsid w:val="00702B09"/>
    <w:rsid w:val="00702B93"/>
    <w:rsid w:val="007034C6"/>
    <w:rsid w:val="00703CFE"/>
    <w:rsid w:val="00703ED7"/>
    <w:rsid w:val="00705402"/>
    <w:rsid w:val="00705C17"/>
    <w:rsid w:val="0070601C"/>
    <w:rsid w:val="007068E7"/>
    <w:rsid w:val="00706C64"/>
    <w:rsid w:val="00710D11"/>
    <w:rsid w:val="007110C4"/>
    <w:rsid w:val="0071192D"/>
    <w:rsid w:val="00711DBA"/>
    <w:rsid w:val="00712095"/>
    <w:rsid w:val="00712335"/>
    <w:rsid w:val="00712752"/>
    <w:rsid w:val="00712897"/>
    <w:rsid w:val="00712ADB"/>
    <w:rsid w:val="00712F4C"/>
    <w:rsid w:val="0071337F"/>
    <w:rsid w:val="0071363F"/>
    <w:rsid w:val="007138DD"/>
    <w:rsid w:val="00715412"/>
    <w:rsid w:val="0071759B"/>
    <w:rsid w:val="00717ADB"/>
    <w:rsid w:val="00720589"/>
    <w:rsid w:val="007208E1"/>
    <w:rsid w:val="00720CF6"/>
    <w:rsid w:val="00722200"/>
    <w:rsid w:val="00722EB5"/>
    <w:rsid w:val="00723E91"/>
    <w:rsid w:val="0072492E"/>
    <w:rsid w:val="00725462"/>
    <w:rsid w:val="007259CB"/>
    <w:rsid w:val="00725B7A"/>
    <w:rsid w:val="00725BA5"/>
    <w:rsid w:val="00726063"/>
    <w:rsid w:val="00726131"/>
    <w:rsid w:val="007261B1"/>
    <w:rsid w:val="00726A47"/>
    <w:rsid w:val="00726FAD"/>
    <w:rsid w:val="00727EA5"/>
    <w:rsid w:val="00731E00"/>
    <w:rsid w:val="00732BB2"/>
    <w:rsid w:val="00733ACA"/>
    <w:rsid w:val="007354C4"/>
    <w:rsid w:val="00735554"/>
    <w:rsid w:val="00736C0B"/>
    <w:rsid w:val="00736EF6"/>
    <w:rsid w:val="00737047"/>
    <w:rsid w:val="00737417"/>
    <w:rsid w:val="007377DD"/>
    <w:rsid w:val="00737A12"/>
    <w:rsid w:val="00740093"/>
    <w:rsid w:val="0074095C"/>
    <w:rsid w:val="00741570"/>
    <w:rsid w:val="00742702"/>
    <w:rsid w:val="007427A7"/>
    <w:rsid w:val="00742F0A"/>
    <w:rsid w:val="007432AD"/>
    <w:rsid w:val="00743465"/>
    <w:rsid w:val="00743507"/>
    <w:rsid w:val="00743599"/>
    <w:rsid w:val="00743A95"/>
    <w:rsid w:val="00745797"/>
    <w:rsid w:val="00745D47"/>
    <w:rsid w:val="00746C0C"/>
    <w:rsid w:val="0075050D"/>
    <w:rsid w:val="0075070A"/>
    <w:rsid w:val="00750AF1"/>
    <w:rsid w:val="00752DBD"/>
    <w:rsid w:val="00753101"/>
    <w:rsid w:val="00755F4C"/>
    <w:rsid w:val="007577E1"/>
    <w:rsid w:val="007578F4"/>
    <w:rsid w:val="00757D80"/>
    <w:rsid w:val="00760132"/>
    <w:rsid w:val="0076334A"/>
    <w:rsid w:val="0076351E"/>
    <w:rsid w:val="00763558"/>
    <w:rsid w:val="00763743"/>
    <w:rsid w:val="0076380D"/>
    <w:rsid w:val="007640A2"/>
    <w:rsid w:val="00764123"/>
    <w:rsid w:val="00764189"/>
    <w:rsid w:val="00765310"/>
    <w:rsid w:val="00766658"/>
    <w:rsid w:val="007679E7"/>
    <w:rsid w:val="00770BEA"/>
    <w:rsid w:val="00772CBC"/>
    <w:rsid w:val="0077426F"/>
    <w:rsid w:val="00774EAC"/>
    <w:rsid w:val="00775DAC"/>
    <w:rsid w:val="00775DF4"/>
    <w:rsid w:val="00777778"/>
    <w:rsid w:val="00777CD3"/>
    <w:rsid w:val="00777D57"/>
    <w:rsid w:val="00777D6E"/>
    <w:rsid w:val="00781315"/>
    <w:rsid w:val="007815B2"/>
    <w:rsid w:val="00782928"/>
    <w:rsid w:val="00782E50"/>
    <w:rsid w:val="007831C1"/>
    <w:rsid w:val="007843F0"/>
    <w:rsid w:val="0078468D"/>
    <w:rsid w:val="0078502A"/>
    <w:rsid w:val="007857D2"/>
    <w:rsid w:val="00785D31"/>
    <w:rsid w:val="0078699E"/>
    <w:rsid w:val="00786DA9"/>
    <w:rsid w:val="007879E3"/>
    <w:rsid w:val="00787F03"/>
    <w:rsid w:val="007904B1"/>
    <w:rsid w:val="00790B79"/>
    <w:rsid w:val="00791370"/>
    <w:rsid w:val="007923AB"/>
    <w:rsid w:val="00792612"/>
    <w:rsid w:val="00792B14"/>
    <w:rsid w:val="00792D34"/>
    <w:rsid w:val="00793938"/>
    <w:rsid w:val="00793D2C"/>
    <w:rsid w:val="007941FB"/>
    <w:rsid w:val="00794204"/>
    <w:rsid w:val="00795E5F"/>
    <w:rsid w:val="00796220"/>
    <w:rsid w:val="0079640D"/>
    <w:rsid w:val="0079772D"/>
    <w:rsid w:val="0079779D"/>
    <w:rsid w:val="007A0F05"/>
    <w:rsid w:val="007A0F56"/>
    <w:rsid w:val="007A17C0"/>
    <w:rsid w:val="007A2166"/>
    <w:rsid w:val="007A2260"/>
    <w:rsid w:val="007A260F"/>
    <w:rsid w:val="007A3169"/>
    <w:rsid w:val="007A31BD"/>
    <w:rsid w:val="007A37D3"/>
    <w:rsid w:val="007A457A"/>
    <w:rsid w:val="007A5B2A"/>
    <w:rsid w:val="007A5F4E"/>
    <w:rsid w:val="007A7431"/>
    <w:rsid w:val="007A78B8"/>
    <w:rsid w:val="007B036F"/>
    <w:rsid w:val="007B075A"/>
    <w:rsid w:val="007B1B61"/>
    <w:rsid w:val="007B1D3B"/>
    <w:rsid w:val="007B2B84"/>
    <w:rsid w:val="007B2BEC"/>
    <w:rsid w:val="007B48DF"/>
    <w:rsid w:val="007B56FE"/>
    <w:rsid w:val="007B5847"/>
    <w:rsid w:val="007B677F"/>
    <w:rsid w:val="007B7645"/>
    <w:rsid w:val="007C05A5"/>
    <w:rsid w:val="007C09A9"/>
    <w:rsid w:val="007C0A7D"/>
    <w:rsid w:val="007C0BF8"/>
    <w:rsid w:val="007C0D11"/>
    <w:rsid w:val="007C17DD"/>
    <w:rsid w:val="007C1CD2"/>
    <w:rsid w:val="007C2000"/>
    <w:rsid w:val="007C2E1E"/>
    <w:rsid w:val="007C4371"/>
    <w:rsid w:val="007C4578"/>
    <w:rsid w:val="007C4720"/>
    <w:rsid w:val="007C4C56"/>
    <w:rsid w:val="007C6078"/>
    <w:rsid w:val="007C73A1"/>
    <w:rsid w:val="007C742D"/>
    <w:rsid w:val="007C7F45"/>
    <w:rsid w:val="007D0424"/>
    <w:rsid w:val="007D1451"/>
    <w:rsid w:val="007D1FF4"/>
    <w:rsid w:val="007D2FE9"/>
    <w:rsid w:val="007D41AA"/>
    <w:rsid w:val="007D4CA7"/>
    <w:rsid w:val="007D4E58"/>
    <w:rsid w:val="007D5D6C"/>
    <w:rsid w:val="007D62FA"/>
    <w:rsid w:val="007D7751"/>
    <w:rsid w:val="007D79DC"/>
    <w:rsid w:val="007D7B40"/>
    <w:rsid w:val="007E0431"/>
    <w:rsid w:val="007E1BE2"/>
    <w:rsid w:val="007E22C3"/>
    <w:rsid w:val="007E3804"/>
    <w:rsid w:val="007E3BA3"/>
    <w:rsid w:val="007E462C"/>
    <w:rsid w:val="007E48C1"/>
    <w:rsid w:val="007E4F56"/>
    <w:rsid w:val="007E51F5"/>
    <w:rsid w:val="007E5576"/>
    <w:rsid w:val="007E58A6"/>
    <w:rsid w:val="007E5A83"/>
    <w:rsid w:val="007E6312"/>
    <w:rsid w:val="007E7D21"/>
    <w:rsid w:val="007F0987"/>
    <w:rsid w:val="007F159F"/>
    <w:rsid w:val="007F1763"/>
    <w:rsid w:val="007F332A"/>
    <w:rsid w:val="007F45D1"/>
    <w:rsid w:val="007F622B"/>
    <w:rsid w:val="007F6318"/>
    <w:rsid w:val="007F63E8"/>
    <w:rsid w:val="007F6CB6"/>
    <w:rsid w:val="00800FA4"/>
    <w:rsid w:val="00801692"/>
    <w:rsid w:val="008024DB"/>
    <w:rsid w:val="00802C0D"/>
    <w:rsid w:val="00802C92"/>
    <w:rsid w:val="00802DBB"/>
    <w:rsid w:val="00803E07"/>
    <w:rsid w:val="00805526"/>
    <w:rsid w:val="0080592F"/>
    <w:rsid w:val="0080624B"/>
    <w:rsid w:val="0080674B"/>
    <w:rsid w:val="00806B63"/>
    <w:rsid w:val="00806F79"/>
    <w:rsid w:val="008076B4"/>
    <w:rsid w:val="008078BF"/>
    <w:rsid w:val="00807DAF"/>
    <w:rsid w:val="008101ED"/>
    <w:rsid w:val="0081035A"/>
    <w:rsid w:val="008108B9"/>
    <w:rsid w:val="008109C1"/>
    <w:rsid w:val="00810C9F"/>
    <w:rsid w:val="00812044"/>
    <w:rsid w:val="00814759"/>
    <w:rsid w:val="00814FD1"/>
    <w:rsid w:val="00815056"/>
    <w:rsid w:val="00815BD8"/>
    <w:rsid w:val="00815CBC"/>
    <w:rsid w:val="00817D73"/>
    <w:rsid w:val="008227F8"/>
    <w:rsid w:val="00822EF8"/>
    <w:rsid w:val="00824471"/>
    <w:rsid w:val="00824491"/>
    <w:rsid w:val="00825A19"/>
    <w:rsid w:val="00826F51"/>
    <w:rsid w:val="008306EA"/>
    <w:rsid w:val="00830E9A"/>
    <w:rsid w:val="00832ACF"/>
    <w:rsid w:val="008336A2"/>
    <w:rsid w:val="00833964"/>
    <w:rsid w:val="00833F09"/>
    <w:rsid w:val="00834701"/>
    <w:rsid w:val="00834FCB"/>
    <w:rsid w:val="008356BC"/>
    <w:rsid w:val="00836248"/>
    <w:rsid w:val="008420BE"/>
    <w:rsid w:val="00842FEC"/>
    <w:rsid w:val="00844680"/>
    <w:rsid w:val="008446E4"/>
    <w:rsid w:val="0084479D"/>
    <w:rsid w:val="00844848"/>
    <w:rsid w:val="00845CAC"/>
    <w:rsid w:val="00846024"/>
    <w:rsid w:val="00846908"/>
    <w:rsid w:val="0084701E"/>
    <w:rsid w:val="008503BC"/>
    <w:rsid w:val="00851DDA"/>
    <w:rsid w:val="00851F4F"/>
    <w:rsid w:val="0085259B"/>
    <w:rsid w:val="00852DE6"/>
    <w:rsid w:val="0085300F"/>
    <w:rsid w:val="008531F9"/>
    <w:rsid w:val="00853981"/>
    <w:rsid w:val="00853E40"/>
    <w:rsid w:val="00854640"/>
    <w:rsid w:val="00856712"/>
    <w:rsid w:val="00856DC2"/>
    <w:rsid w:val="00857150"/>
    <w:rsid w:val="00857D12"/>
    <w:rsid w:val="008619B1"/>
    <w:rsid w:val="00861CED"/>
    <w:rsid w:val="00862D68"/>
    <w:rsid w:val="008632B3"/>
    <w:rsid w:val="0086374D"/>
    <w:rsid w:val="0086383D"/>
    <w:rsid w:val="00863C06"/>
    <w:rsid w:val="0086420D"/>
    <w:rsid w:val="00866B19"/>
    <w:rsid w:val="008676BE"/>
    <w:rsid w:val="0086780C"/>
    <w:rsid w:val="00870FE4"/>
    <w:rsid w:val="00872E67"/>
    <w:rsid w:val="00873071"/>
    <w:rsid w:val="0087316C"/>
    <w:rsid w:val="008735C7"/>
    <w:rsid w:val="008740A0"/>
    <w:rsid w:val="00874903"/>
    <w:rsid w:val="00875E63"/>
    <w:rsid w:val="0087633A"/>
    <w:rsid w:val="00876E0B"/>
    <w:rsid w:val="0088120A"/>
    <w:rsid w:val="0088135F"/>
    <w:rsid w:val="00881642"/>
    <w:rsid w:val="0088168E"/>
    <w:rsid w:val="00881ABE"/>
    <w:rsid w:val="00884EFA"/>
    <w:rsid w:val="00885EC5"/>
    <w:rsid w:val="00886214"/>
    <w:rsid w:val="0088661F"/>
    <w:rsid w:val="00886A0C"/>
    <w:rsid w:val="008879D2"/>
    <w:rsid w:val="008901F2"/>
    <w:rsid w:val="00890798"/>
    <w:rsid w:val="008914A1"/>
    <w:rsid w:val="00892D87"/>
    <w:rsid w:val="008944AE"/>
    <w:rsid w:val="00894779"/>
    <w:rsid w:val="00895100"/>
    <w:rsid w:val="008954B6"/>
    <w:rsid w:val="008954FE"/>
    <w:rsid w:val="0089575C"/>
    <w:rsid w:val="008958B1"/>
    <w:rsid w:val="00895BBA"/>
    <w:rsid w:val="00896ECA"/>
    <w:rsid w:val="00897D82"/>
    <w:rsid w:val="008A0FD9"/>
    <w:rsid w:val="008A134D"/>
    <w:rsid w:val="008A2023"/>
    <w:rsid w:val="008A2158"/>
    <w:rsid w:val="008A2B2C"/>
    <w:rsid w:val="008A3609"/>
    <w:rsid w:val="008A3857"/>
    <w:rsid w:val="008A3903"/>
    <w:rsid w:val="008A39DE"/>
    <w:rsid w:val="008A499E"/>
    <w:rsid w:val="008A4D2D"/>
    <w:rsid w:val="008A5CD8"/>
    <w:rsid w:val="008A62F6"/>
    <w:rsid w:val="008A6F06"/>
    <w:rsid w:val="008A7A99"/>
    <w:rsid w:val="008B029E"/>
    <w:rsid w:val="008B0D33"/>
    <w:rsid w:val="008B12C7"/>
    <w:rsid w:val="008B1EA7"/>
    <w:rsid w:val="008B2269"/>
    <w:rsid w:val="008B3646"/>
    <w:rsid w:val="008B46E7"/>
    <w:rsid w:val="008B4806"/>
    <w:rsid w:val="008B4939"/>
    <w:rsid w:val="008B4F07"/>
    <w:rsid w:val="008B657C"/>
    <w:rsid w:val="008B69D1"/>
    <w:rsid w:val="008B793C"/>
    <w:rsid w:val="008B7D5A"/>
    <w:rsid w:val="008B7E9A"/>
    <w:rsid w:val="008C0076"/>
    <w:rsid w:val="008C00E4"/>
    <w:rsid w:val="008C12F5"/>
    <w:rsid w:val="008C1586"/>
    <w:rsid w:val="008C1914"/>
    <w:rsid w:val="008C2544"/>
    <w:rsid w:val="008C2E58"/>
    <w:rsid w:val="008C30AD"/>
    <w:rsid w:val="008C3978"/>
    <w:rsid w:val="008C39D8"/>
    <w:rsid w:val="008C3F49"/>
    <w:rsid w:val="008C40BA"/>
    <w:rsid w:val="008C5173"/>
    <w:rsid w:val="008C52C3"/>
    <w:rsid w:val="008C5797"/>
    <w:rsid w:val="008C646B"/>
    <w:rsid w:val="008C69F5"/>
    <w:rsid w:val="008D0534"/>
    <w:rsid w:val="008D0C9A"/>
    <w:rsid w:val="008D1EB8"/>
    <w:rsid w:val="008D1F59"/>
    <w:rsid w:val="008D21D9"/>
    <w:rsid w:val="008D29C8"/>
    <w:rsid w:val="008D3120"/>
    <w:rsid w:val="008D3F48"/>
    <w:rsid w:val="008D452A"/>
    <w:rsid w:val="008D4C88"/>
    <w:rsid w:val="008D553A"/>
    <w:rsid w:val="008D6060"/>
    <w:rsid w:val="008D71C9"/>
    <w:rsid w:val="008D79B5"/>
    <w:rsid w:val="008E1496"/>
    <w:rsid w:val="008E179D"/>
    <w:rsid w:val="008E2371"/>
    <w:rsid w:val="008E274E"/>
    <w:rsid w:val="008E27C2"/>
    <w:rsid w:val="008E2A27"/>
    <w:rsid w:val="008E31B9"/>
    <w:rsid w:val="008E36EE"/>
    <w:rsid w:val="008E3CA3"/>
    <w:rsid w:val="008E4091"/>
    <w:rsid w:val="008E4FA0"/>
    <w:rsid w:val="008E56B1"/>
    <w:rsid w:val="008E6AB3"/>
    <w:rsid w:val="008E7757"/>
    <w:rsid w:val="008E781E"/>
    <w:rsid w:val="008F021C"/>
    <w:rsid w:val="008F1ED2"/>
    <w:rsid w:val="008F200E"/>
    <w:rsid w:val="008F2FF0"/>
    <w:rsid w:val="008F32AC"/>
    <w:rsid w:val="008F3758"/>
    <w:rsid w:val="008F3F5F"/>
    <w:rsid w:val="008F411B"/>
    <w:rsid w:val="008F4DC6"/>
    <w:rsid w:val="008F4EF4"/>
    <w:rsid w:val="008F6323"/>
    <w:rsid w:val="008F66A1"/>
    <w:rsid w:val="008F73E0"/>
    <w:rsid w:val="009001C1"/>
    <w:rsid w:val="009027BD"/>
    <w:rsid w:val="00902B04"/>
    <w:rsid w:val="0090348E"/>
    <w:rsid w:val="0090351E"/>
    <w:rsid w:val="00904B8C"/>
    <w:rsid w:val="00904EBD"/>
    <w:rsid w:val="00905D8F"/>
    <w:rsid w:val="0090673B"/>
    <w:rsid w:val="00907182"/>
    <w:rsid w:val="00910B7F"/>
    <w:rsid w:val="009114A9"/>
    <w:rsid w:val="009133A3"/>
    <w:rsid w:val="0091382B"/>
    <w:rsid w:val="00914130"/>
    <w:rsid w:val="009141A7"/>
    <w:rsid w:val="009143F9"/>
    <w:rsid w:val="00914462"/>
    <w:rsid w:val="0091552F"/>
    <w:rsid w:val="00915538"/>
    <w:rsid w:val="0091616C"/>
    <w:rsid w:val="009171EE"/>
    <w:rsid w:val="009174F0"/>
    <w:rsid w:val="00920123"/>
    <w:rsid w:val="00920496"/>
    <w:rsid w:val="00920737"/>
    <w:rsid w:val="0092095E"/>
    <w:rsid w:val="00921263"/>
    <w:rsid w:val="0092178C"/>
    <w:rsid w:val="0092230C"/>
    <w:rsid w:val="00922C48"/>
    <w:rsid w:val="0092399A"/>
    <w:rsid w:val="00930064"/>
    <w:rsid w:val="00931576"/>
    <w:rsid w:val="009323C9"/>
    <w:rsid w:val="00933F69"/>
    <w:rsid w:val="009342AA"/>
    <w:rsid w:val="00934768"/>
    <w:rsid w:val="009348D1"/>
    <w:rsid w:val="00935E92"/>
    <w:rsid w:val="00936814"/>
    <w:rsid w:val="00937483"/>
    <w:rsid w:val="00940FBA"/>
    <w:rsid w:val="0094102C"/>
    <w:rsid w:val="0094303F"/>
    <w:rsid w:val="00943D37"/>
    <w:rsid w:val="009444A8"/>
    <w:rsid w:val="0094490A"/>
    <w:rsid w:val="00944DC9"/>
    <w:rsid w:val="00944F49"/>
    <w:rsid w:val="009458E6"/>
    <w:rsid w:val="00946471"/>
    <w:rsid w:val="00946650"/>
    <w:rsid w:val="00946B25"/>
    <w:rsid w:val="00946D61"/>
    <w:rsid w:val="00946E9A"/>
    <w:rsid w:val="009475EF"/>
    <w:rsid w:val="00947DE9"/>
    <w:rsid w:val="00947F91"/>
    <w:rsid w:val="00947FC9"/>
    <w:rsid w:val="009505B1"/>
    <w:rsid w:val="0095069E"/>
    <w:rsid w:val="0095088F"/>
    <w:rsid w:val="00950EFB"/>
    <w:rsid w:val="00951BF6"/>
    <w:rsid w:val="0095253F"/>
    <w:rsid w:val="00952FBF"/>
    <w:rsid w:val="009531D0"/>
    <w:rsid w:val="009556E4"/>
    <w:rsid w:val="00956082"/>
    <w:rsid w:val="00960082"/>
    <w:rsid w:val="00960119"/>
    <w:rsid w:val="009603E0"/>
    <w:rsid w:val="00962588"/>
    <w:rsid w:val="00962F90"/>
    <w:rsid w:val="00963709"/>
    <w:rsid w:val="00964FB0"/>
    <w:rsid w:val="00965F97"/>
    <w:rsid w:val="00966EF8"/>
    <w:rsid w:val="0096737D"/>
    <w:rsid w:val="00967492"/>
    <w:rsid w:val="00967B1E"/>
    <w:rsid w:val="00967B34"/>
    <w:rsid w:val="00967C3D"/>
    <w:rsid w:val="0097226D"/>
    <w:rsid w:val="00972857"/>
    <w:rsid w:val="00976871"/>
    <w:rsid w:val="00976E42"/>
    <w:rsid w:val="0097715A"/>
    <w:rsid w:val="00977B15"/>
    <w:rsid w:val="00980028"/>
    <w:rsid w:val="00980482"/>
    <w:rsid w:val="00980971"/>
    <w:rsid w:val="009828C9"/>
    <w:rsid w:val="00983DD5"/>
    <w:rsid w:val="00984153"/>
    <w:rsid w:val="00984331"/>
    <w:rsid w:val="0098514F"/>
    <w:rsid w:val="00986C39"/>
    <w:rsid w:val="009901E5"/>
    <w:rsid w:val="00990A37"/>
    <w:rsid w:val="00990BD8"/>
    <w:rsid w:val="00991C46"/>
    <w:rsid w:val="00991F51"/>
    <w:rsid w:val="009921D8"/>
    <w:rsid w:val="00993052"/>
    <w:rsid w:val="00993186"/>
    <w:rsid w:val="00993859"/>
    <w:rsid w:val="00994DF9"/>
    <w:rsid w:val="00994E6E"/>
    <w:rsid w:val="00995032"/>
    <w:rsid w:val="00995465"/>
    <w:rsid w:val="00995510"/>
    <w:rsid w:val="009961A2"/>
    <w:rsid w:val="00996C70"/>
    <w:rsid w:val="00996EA5"/>
    <w:rsid w:val="00997B52"/>
    <w:rsid w:val="009A177E"/>
    <w:rsid w:val="009A17B4"/>
    <w:rsid w:val="009A1832"/>
    <w:rsid w:val="009A2A2F"/>
    <w:rsid w:val="009A2CD9"/>
    <w:rsid w:val="009A3AC8"/>
    <w:rsid w:val="009A4D05"/>
    <w:rsid w:val="009A51CA"/>
    <w:rsid w:val="009A595B"/>
    <w:rsid w:val="009A70EB"/>
    <w:rsid w:val="009A7C89"/>
    <w:rsid w:val="009A7E42"/>
    <w:rsid w:val="009B076E"/>
    <w:rsid w:val="009B0E73"/>
    <w:rsid w:val="009B1FF4"/>
    <w:rsid w:val="009B208C"/>
    <w:rsid w:val="009B2625"/>
    <w:rsid w:val="009B27DD"/>
    <w:rsid w:val="009B3380"/>
    <w:rsid w:val="009B3ECD"/>
    <w:rsid w:val="009B41E2"/>
    <w:rsid w:val="009B5592"/>
    <w:rsid w:val="009B6884"/>
    <w:rsid w:val="009B7203"/>
    <w:rsid w:val="009B74AB"/>
    <w:rsid w:val="009B7BB7"/>
    <w:rsid w:val="009C01C4"/>
    <w:rsid w:val="009C01D2"/>
    <w:rsid w:val="009C1C8B"/>
    <w:rsid w:val="009C3DFC"/>
    <w:rsid w:val="009C494C"/>
    <w:rsid w:val="009C4B81"/>
    <w:rsid w:val="009C5780"/>
    <w:rsid w:val="009C6332"/>
    <w:rsid w:val="009C64DC"/>
    <w:rsid w:val="009C67A1"/>
    <w:rsid w:val="009C7178"/>
    <w:rsid w:val="009C7319"/>
    <w:rsid w:val="009C7388"/>
    <w:rsid w:val="009C76F9"/>
    <w:rsid w:val="009D0FE4"/>
    <w:rsid w:val="009D1285"/>
    <w:rsid w:val="009D136D"/>
    <w:rsid w:val="009D141D"/>
    <w:rsid w:val="009D29CA"/>
    <w:rsid w:val="009D3054"/>
    <w:rsid w:val="009D3154"/>
    <w:rsid w:val="009D31FF"/>
    <w:rsid w:val="009D4055"/>
    <w:rsid w:val="009D40E7"/>
    <w:rsid w:val="009D7456"/>
    <w:rsid w:val="009D7AC9"/>
    <w:rsid w:val="009E132E"/>
    <w:rsid w:val="009E15DE"/>
    <w:rsid w:val="009E29CE"/>
    <w:rsid w:val="009E3A82"/>
    <w:rsid w:val="009E4085"/>
    <w:rsid w:val="009E4601"/>
    <w:rsid w:val="009E4C6A"/>
    <w:rsid w:val="009E567A"/>
    <w:rsid w:val="009E61C8"/>
    <w:rsid w:val="009E6254"/>
    <w:rsid w:val="009E675C"/>
    <w:rsid w:val="009F0344"/>
    <w:rsid w:val="009F04E7"/>
    <w:rsid w:val="009F103D"/>
    <w:rsid w:val="009F1A11"/>
    <w:rsid w:val="009F2619"/>
    <w:rsid w:val="009F2AC8"/>
    <w:rsid w:val="009F3146"/>
    <w:rsid w:val="009F3870"/>
    <w:rsid w:val="009F3B53"/>
    <w:rsid w:val="009F49DD"/>
    <w:rsid w:val="009F4D8D"/>
    <w:rsid w:val="009F4DBB"/>
    <w:rsid w:val="009F542D"/>
    <w:rsid w:val="009F6102"/>
    <w:rsid w:val="00A007C8"/>
    <w:rsid w:val="00A00D57"/>
    <w:rsid w:val="00A0136F"/>
    <w:rsid w:val="00A016F9"/>
    <w:rsid w:val="00A0254A"/>
    <w:rsid w:val="00A02946"/>
    <w:rsid w:val="00A02A80"/>
    <w:rsid w:val="00A02D81"/>
    <w:rsid w:val="00A030A6"/>
    <w:rsid w:val="00A03824"/>
    <w:rsid w:val="00A03D2B"/>
    <w:rsid w:val="00A05C46"/>
    <w:rsid w:val="00A05EA3"/>
    <w:rsid w:val="00A07623"/>
    <w:rsid w:val="00A1027B"/>
    <w:rsid w:val="00A104B7"/>
    <w:rsid w:val="00A114B2"/>
    <w:rsid w:val="00A11755"/>
    <w:rsid w:val="00A121F5"/>
    <w:rsid w:val="00A12AC4"/>
    <w:rsid w:val="00A13D00"/>
    <w:rsid w:val="00A14225"/>
    <w:rsid w:val="00A14EFD"/>
    <w:rsid w:val="00A155DA"/>
    <w:rsid w:val="00A168EC"/>
    <w:rsid w:val="00A17170"/>
    <w:rsid w:val="00A20C55"/>
    <w:rsid w:val="00A214A2"/>
    <w:rsid w:val="00A21739"/>
    <w:rsid w:val="00A21A70"/>
    <w:rsid w:val="00A2450D"/>
    <w:rsid w:val="00A24A6A"/>
    <w:rsid w:val="00A24F0A"/>
    <w:rsid w:val="00A25D94"/>
    <w:rsid w:val="00A2792E"/>
    <w:rsid w:val="00A30C98"/>
    <w:rsid w:val="00A31B91"/>
    <w:rsid w:val="00A3294D"/>
    <w:rsid w:val="00A33874"/>
    <w:rsid w:val="00A33882"/>
    <w:rsid w:val="00A33F21"/>
    <w:rsid w:val="00A340EC"/>
    <w:rsid w:val="00A3691F"/>
    <w:rsid w:val="00A36B00"/>
    <w:rsid w:val="00A36BA3"/>
    <w:rsid w:val="00A37048"/>
    <w:rsid w:val="00A417C2"/>
    <w:rsid w:val="00A41D2B"/>
    <w:rsid w:val="00A42639"/>
    <w:rsid w:val="00A43200"/>
    <w:rsid w:val="00A4328B"/>
    <w:rsid w:val="00A43999"/>
    <w:rsid w:val="00A452A5"/>
    <w:rsid w:val="00A45351"/>
    <w:rsid w:val="00A463FB"/>
    <w:rsid w:val="00A46B14"/>
    <w:rsid w:val="00A50A63"/>
    <w:rsid w:val="00A51766"/>
    <w:rsid w:val="00A529A9"/>
    <w:rsid w:val="00A52D95"/>
    <w:rsid w:val="00A53213"/>
    <w:rsid w:val="00A53B45"/>
    <w:rsid w:val="00A547AA"/>
    <w:rsid w:val="00A54D6C"/>
    <w:rsid w:val="00A5680F"/>
    <w:rsid w:val="00A56C7C"/>
    <w:rsid w:val="00A575A2"/>
    <w:rsid w:val="00A57627"/>
    <w:rsid w:val="00A5772A"/>
    <w:rsid w:val="00A57A05"/>
    <w:rsid w:val="00A60233"/>
    <w:rsid w:val="00A6227D"/>
    <w:rsid w:val="00A62E0A"/>
    <w:rsid w:val="00A636FE"/>
    <w:rsid w:val="00A6376E"/>
    <w:rsid w:val="00A63ACF"/>
    <w:rsid w:val="00A6547C"/>
    <w:rsid w:val="00A6633E"/>
    <w:rsid w:val="00A66639"/>
    <w:rsid w:val="00A66A51"/>
    <w:rsid w:val="00A66ADE"/>
    <w:rsid w:val="00A66F6B"/>
    <w:rsid w:val="00A67944"/>
    <w:rsid w:val="00A67F62"/>
    <w:rsid w:val="00A703F1"/>
    <w:rsid w:val="00A70DA3"/>
    <w:rsid w:val="00A719E0"/>
    <w:rsid w:val="00A71CA5"/>
    <w:rsid w:val="00A73F08"/>
    <w:rsid w:val="00A748F2"/>
    <w:rsid w:val="00A75D61"/>
    <w:rsid w:val="00A762B5"/>
    <w:rsid w:val="00A77302"/>
    <w:rsid w:val="00A77B35"/>
    <w:rsid w:val="00A80223"/>
    <w:rsid w:val="00A80390"/>
    <w:rsid w:val="00A805BC"/>
    <w:rsid w:val="00A8066A"/>
    <w:rsid w:val="00A81125"/>
    <w:rsid w:val="00A822CE"/>
    <w:rsid w:val="00A830CA"/>
    <w:rsid w:val="00A83A5A"/>
    <w:rsid w:val="00A83A9E"/>
    <w:rsid w:val="00A83B32"/>
    <w:rsid w:val="00A84207"/>
    <w:rsid w:val="00A8481C"/>
    <w:rsid w:val="00A84C23"/>
    <w:rsid w:val="00A856E5"/>
    <w:rsid w:val="00A8610D"/>
    <w:rsid w:val="00A8691A"/>
    <w:rsid w:val="00A90F1B"/>
    <w:rsid w:val="00A92625"/>
    <w:rsid w:val="00A92665"/>
    <w:rsid w:val="00A92D43"/>
    <w:rsid w:val="00A94C89"/>
    <w:rsid w:val="00A956A9"/>
    <w:rsid w:val="00A965B7"/>
    <w:rsid w:val="00A9727A"/>
    <w:rsid w:val="00AA02A5"/>
    <w:rsid w:val="00AA0B45"/>
    <w:rsid w:val="00AA1C29"/>
    <w:rsid w:val="00AA1D27"/>
    <w:rsid w:val="00AA1F17"/>
    <w:rsid w:val="00AA2065"/>
    <w:rsid w:val="00AA22F9"/>
    <w:rsid w:val="00AA348E"/>
    <w:rsid w:val="00AA38DE"/>
    <w:rsid w:val="00AA424B"/>
    <w:rsid w:val="00AA456E"/>
    <w:rsid w:val="00AA4BE3"/>
    <w:rsid w:val="00AA4E23"/>
    <w:rsid w:val="00AA4FE0"/>
    <w:rsid w:val="00AA532B"/>
    <w:rsid w:val="00AA5E53"/>
    <w:rsid w:val="00AA6691"/>
    <w:rsid w:val="00AA6F1C"/>
    <w:rsid w:val="00AA6FAD"/>
    <w:rsid w:val="00AA7FFB"/>
    <w:rsid w:val="00AB02F3"/>
    <w:rsid w:val="00AB10F7"/>
    <w:rsid w:val="00AB17CC"/>
    <w:rsid w:val="00AB1C93"/>
    <w:rsid w:val="00AB22E1"/>
    <w:rsid w:val="00AB382E"/>
    <w:rsid w:val="00AB3BE8"/>
    <w:rsid w:val="00AB3F8A"/>
    <w:rsid w:val="00AB50EC"/>
    <w:rsid w:val="00AB5CDD"/>
    <w:rsid w:val="00AB5EBA"/>
    <w:rsid w:val="00AB6405"/>
    <w:rsid w:val="00AC0907"/>
    <w:rsid w:val="00AC0991"/>
    <w:rsid w:val="00AC0CC3"/>
    <w:rsid w:val="00AC1803"/>
    <w:rsid w:val="00AC2A4C"/>
    <w:rsid w:val="00AC3617"/>
    <w:rsid w:val="00AC3A77"/>
    <w:rsid w:val="00AC4154"/>
    <w:rsid w:val="00AC4C8E"/>
    <w:rsid w:val="00AD052F"/>
    <w:rsid w:val="00AD0FA0"/>
    <w:rsid w:val="00AD0FD9"/>
    <w:rsid w:val="00AD1491"/>
    <w:rsid w:val="00AD158A"/>
    <w:rsid w:val="00AD15CE"/>
    <w:rsid w:val="00AD1CBB"/>
    <w:rsid w:val="00AD1F15"/>
    <w:rsid w:val="00AD21DC"/>
    <w:rsid w:val="00AD295A"/>
    <w:rsid w:val="00AD2BDB"/>
    <w:rsid w:val="00AD307D"/>
    <w:rsid w:val="00AD3A96"/>
    <w:rsid w:val="00AD3EB3"/>
    <w:rsid w:val="00AD56C2"/>
    <w:rsid w:val="00AD5C5F"/>
    <w:rsid w:val="00AD5CC3"/>
    <w:rsid w:val="00AE04C4"/>
    <w:rsid w:val="00AE2299"/>
    <w:rsid w:val="00AE252B"/>
    <w:rsid w:val="00AE481D"/>
    <w:rsid w:val="00AE509A"/>
    <w:rsid w:val="00AE6054"/>
    <w:rsid w:val="00AF03C8"/>
    <w:rsid w:val="00AF2064"/>
    <w:rsid w:val="00AF24E8"/>
    <w:rsid w:val="00AF32BC"/>
    <w:rsid w:val="00AF40C6"/>
    <w:rsid w:val="00AF4484"/>
    <w:rsid w:val="00AF46DE"/>
    <w:rsid w:val="00AF4B76"/>
    <w:rsid w:val="00AF62CA"/>
    <w:rsid w:val="00AF66F2"/>
    <w:rsid w:val="00AF7147"/>
    <w:rsid w:val="00AF748D"/>
    <w:rsid w:val="00AF7691"/>
    <w:rsid w:val="00AF7BC1"/>
    <w:rsid w:val="00B00267"/>
    <w:rsid w:val="00B012FF"/>
    <w:rsid w:val="00B01659"/>
    <w:rsid w:val="00B03595"/>
    <w:rsid w:val="00B03779"/>
    <w:rsid w:val="00B03D76"/>
    <w:rsid w:val="00B05AA2"/>
    <w:rsid w:val="00B06CF4"/>
    <w:rsid w:val="00B07D87"/>
    <w:rsid w:val="00B10F3E"/>
    <w:rsid w:val="00B11211"/>
    <w:rsid w:val="00B114D9"/>
    <w:rsid w:val="00B12D36"/>
    <w:rsid w:val="00B1362B"/>
    <w:rsid w:val="00B13A5A"/>
    <w:rsid w:val="00B15460"/>
    <w:rsid w:val="00B15DCF"/>
    <w:rsid w:val="00B1674B"/>
    <w:rsid w:val="00B1744D"/>
    <w:rsid w:val="00B175EE"/>
    <w:rsid w:val="00B1766A"/>
    <w:rsid w:val="00B17D2F"/>
    <w:rsid w:val="00B20D69"/>
    <w:rsid w:val="00B20F03"/>
    <w:rsid w:val="00B212E7"/>
    <w:rsid w:val="00B21510"/>
    <w:rsid w:val="00B21BD2"/>
    <w:rsid w:val="00B22299"/>
    <w:rsid w:val="00B22511"/>
    <w:rsid w:val="00B24548"/>
    <w:rsid w:val="00B253C8"/>
    <w:rsid w:val="00B253E2"/>
    <w:rsid w:val="00B254EE"/>
    <w:rsid w:val="00B25846"/>
    <w:rsid w:val="00B265EC"/>
    <w:rsid w:val="00B27AB1"/>
    <w:rsid w:val="00B27E78"/>
    <w:rsid w:val="00B334AC"/>
    <w:rsid w:val="00B3380F"/>
    <w:rsid w:val="00B34A8F"/>
    <w:rsid w:val="00B3539E"/>
    <w:rsid w:val="00B373D8"/>
    <w:rsid w:val="00B374BF"/>
    <w:rsid w:val="00B37A33"/>
    <w:rsid w:val="00B37DC8"/>
    <w:rsid w:val="00B37E6D"/>
    <w:rsid w:val="00B4103F"/>
    <w:rsid w:val="00B41A93"/>
    <w:rsid w:val="00B41E18"/>
    <w:rsid w:val="00B432AE"/>
    <w:rsid w:val="00B44869"/>
    <w:rsid w:val="00B44EF3"/>
    <w:rsid w:val="00B45C50"/>
    <w:rsid w:val="00B46930"/>
    <w:rsid w:val="00B46AF8"/>
    <w:rsid w:val="00B470F6"/>
    <w:rsid w:val="00B47361"/>
    <w:rsid w:val="00B4756B"/>
    <w:rsid w:val="00B478A6"/>
    <w:rsid w:val="00B50652"/>
    <w:rsid w:val="00B5166D"/>
    <w:rsid w:val="00B516DD"/>
    <w:rsid w:val="00B51F43"/>
    <w:rsid w:val="00B51F9F"/>
    <w:rsid w:val="00B523E2"/>
    <w:rsid w:val="00B526B1"/>
    <w:rsid w:val="00B52AE6"/>
    <w:rsid w:val="00B52B59"/>
    <w:rsid w:val="00B53DEA"/>
    <w:rsid w:val="00B54C9C"/>
    <w:rsid w:val="00B56414"/>
    <w:rsid w:val="00B5657F"/>
    <w:rsid w:val="00B5683D"/>
    <w:rsid w:val="00B607BD"/>
    <w:rsid w:val="00B612EC"/>
    <w:rsid w:val="00B644FC"/>
    <w:rsid w:val="00B66332"/>
    <w:rsid w:val="00B66B56"/>
    <w:rsid w:val="00B67806"/>
    <w:rsid w:val="00B67D3F"/>
    <w:rsid w:val="00B713E2"/>
    <w:rsid w:val="00B719E5"/>
    <w:rsid w:val="00B71C4B"/>
    <w:rsid w:val="00B723AF"/>
    <w:rsid w:val="00B723B7"/>
    <w:rsid w:val="00B725EB"/>
    <w:rsid w:val="00B737C9"/>
    <w:rsid w:val="00B738FE"/>
    <w:rsid w:val="00B73985"/>
    <w:rsid w:val="00B73F3F"/>
    <w:rsid w:val="00B74662"/>
    <w:rsid w:val="00B74A28"/>
    <w:rsid w:val="00B75373"/>
    <w:rsid w:val="00B75B73"/>
    <w:rsid w:val="00B75BA6"/>
    <w:rsid w:val="00B75EB7"/>
    <w:rsid w:val="00B761FC"/>
    <w:rsid w:val="00B765CB"/>
    <w:rsid w:val="00B7757B"/>
    <w:rsid w:val="00B7783F"/>
    <w:rsid w:val="00B77DBC"/>
    <w:rsid w:val="00B8045B"/>
    <w:rsid w:val="00B81081"/>
    <w:rsid w:val="00B826AB"/>
    <w:rsid w:val="00B82F94"/>
    <w:rsid w:val="00B834EF"/>
    <w:rsid w:val="00B83541"/>
    <w:rsid w:val="00B84A90"/>
    <w:rsid w:val="00B84FCC"/>
    <w:rsid w:val="00B85A17"/>
    <w:rsid w:val="00B863AB"/>
    <w:rsid w:val="00B9066E"/>
    <w:rsid w:val="00B9110E"/>
    <w:rsid w:val="00B9213E"/>
    <w:rsid w:val="00B92620"/>
    <w:rsid w:val="00B9348E"/>
    <w:rsid w:val="00B957B9"/>
    <w:rsid w:val="00B965AB"/>
    <w:rsid w:val="00B96993"/>
    <w:rsid w:val="00B971F7"/>
    <w:rsid w:val="00B975FF"/>
    <w:rsid w:val="00B97671"/>
    <w:rsid w:val="00B97B95"/>
    <w:rsid w:val="00BA00F7"/>
    <w:rsid w:val="00BA0D02"/>
    <w:rsid w:val="00BA0FA5"/>
    <w:rsid w:val="00BA10D9"/>
    <w:rsid w:val="00BA1231"/>
    <w:rsid w:val="00BA1BA3"/>
    <w:rsid w:val="00BA2A04"/>
    <w:rsid w:val="00BA3418"/>
    <w:rsid w:val="00BA36EF"/>
    <w:rsid w:val="00BA548A"/>
    <w:rsid w:val="00BA60E5"/>
    <w:rsid w:val="00BA6979"/>
    <w:rsid w:val="00BA6E6B"/>
    <w:rsid w:val="00BA7002"/>
    <w:rsid w:val="00BB1AE7"/>
    <w:rsid w:val="00BB34AC"/>
    <w:rsid w:val="00BB35F1"/>
    <w:rsid w:val="00BB36D2"/>
    <w:rsid w:val="00BB38C6"/>
    <w:rsid w:val="00BB39D0"/>
    <w:rsid w:val="00BB3A35"/>
    <w:rsid w:val="00BB4583"/>
    <w:rsid w:val="00BB518F"/>
    <w:rsid w:val="00BB5200"/>
    <w:rsid w:val="00BB616F"/>
    <w:rsid w:val="00BB62BE"/>
    <w:rsid w:val="00BB65B9"/>
    <w:rsid w:val="00BB6613"/>
    <w:rsid w:val="00BB79A4"/>
    <w:rsid w:val="00BC0D86"/>
    <w:rsid w:val="00BC1E70"/>
    <w:rsid w:val="00BC229B"/>
    <w:rsid w:val="00BC3067"/>
    <w:rsid w:val="00BC363D"/>
    <w:rsid w:val="00BC3DE3"/>
    <w:rsid w:val="00BC4203"/>
    <w:rsid w:val="00BC4288"/>
    <w:rsid w:val="00BC47AF"/>
    <w:rsid w:val="00BC489D"/>
    <w:rsid w:val="00BC4CCE"/>
    <w:rsid w:val="00BC6D74"/>
    <w:rsid w:val="00BC7666"/>
    <w:rsid w:val="00BC7BB1"/>
    <w:rsid w:val="00BC7E3B"/>
    <w:rsid w:val="00BC7EE3"/>
    <w:rsid w:val="00BD0B78"/>
    <w:rsid w:val="00BD0D0F"/>
    <w:rsid w:val="00BD0DE9"/>
    <w:rsid w:val="00BD1C99"/>
    <w:rsid w:val="00BD1EAC"/>
    <w:rsid w:val="00BD4B21"/>
    <w:rsid w:val="00BD4D59"/>
    <w:rsid w:val="00BD53D5"/>
    <w:rsid w:val="00BD6D84"/>
    <w:rsid w:val="00BD6DB5"/>
    <w:rsid w:val="00BD6FF1"/>
    <w:rsid w:val="00BD71F8"/>
    <w:rsid w:val="00BD7A1D"/>
    <w:rsid w:val="00BD7F0D"/>
    <w:rsid w:val="00BE0250"/>
    <w:rsid w:val="00BE09D3"/>
    <w:rsid w:val="00BE20AD"/>
    <w:rsid w:val="00BE2542"/>
    <w:rsid w:val="00BE2ABB"/>
    <w:rsid w:val="00BE4754"/>
    <w:rsid w:val="00BE543A"/>
    <w:rsid w:val="00BE582E"/>
    <w:rsid w:val="00BE62A9"/>
    <w:rsid w:val="00BE642C"/>
    <w:rsid w:val="00BE6CAC"/>
    <w:rsid w:val="00BE7108"/>
    <w:rsid w:val="00BF13BF"/>
    <w:rsid w:val="00BF158E"/>
    <w:rsid w:val="00BF2F7E"/>
    <w:rsid w:val="00BF389A"/>
    <w:rsid w:val="00BF3A26"/>
    <w:rsid w:val="00BF43D8"/>
    <w:rsid w:val="00BF49D5"/>
    <w:rsid w:val="00BF7060"/>
    <w:rsid w:val="00BF79DB"/>
    <w:rsid w:val="00BF7E1C"/>
    <w:rsid w:val="00C00C42"/>
    <w:rsid w:val="00C0191B"/>
    <w:rsid w:val="00C0209F"/>
    <w:rsid w:val="00C023B5"/>
    <w:rsid w:val="00C02A2A"/>
    <w:rsid w:val="00C03269"/>
    <w:rsid w:val="00C037A4"/>
    <w:rsid w:val="00C03C7A"/>
    <w:rsid w:val="00C03F2B"/>
    <w:rsid w:val="00C0414D"/>
    <w:rsid w:val="00C0426E"/>
    <w:rsid w:val="00C045AD"/>
    <w:rsid w:val="00C05DD5"/>
    <w:rsid w:val="00C067EC"/>
    <w:rsid w:val="00C06DC9"/>
    <w:rsid w:val="00C1046E"/>
    <w:rsid w:val="00C11088"/>
    <w:rsid w:val="00C1168E"/>
    <w:rsid w:val="00C11AA8"/>
    <w:rsid w:val="00C11DFA"/>
    <w:rsid w:val="00C12138"/>
    <w:rsid w:val="00C124E7"/>
    <w:rsid w:val="00C12830"/>
    <w:rsid w:val="00C12CDF"/>
    <w:rsid w:val="00C147AE"/>
    <w:rsid w:val="00C14F69"/>
    <w:rsid w:val="00C15D52"/>
    <w:rsid w:val="00C16F5B"/>
    <w:rsid w:val="00C17499"/>
    <w:rsid w:val="00C175CE"/>
    <w:rsid w:val="00C17825"/>
    <w:rsid w:val="00C179C5"/>
    <w:rsid w:val="00C17DDD"/>
    <w:rsid w:val="00C20B41"/>
    <w:rsid w:val="00C21167"/>
    <w:rsid w:val="00C218D1"/>
    <w:rsid w:val="00C2266B"/>
    <w:rsid w:val="00C228DC"/>
    <w:rsid w:val="00C237F0"/>
    <w:rsid w:val="00C25630"/>
    <w:rsid w:val="00C25A25"/>
    <w:rsid w:val="00C2741D"/>
    <w:rsid w:val="00C27448"/>
    <w:rsid w:val="00C27B90"/>
    <w:rsid w:val="00C30364"/>
    <w:rsid w:val="00C3056A"/>
    <w:rsid w:val="00C317C8"/>
    <w:rsid w:val="00C31C8F"/>
    <w:rsid w:val="00C323A9"/>
    <w:rsid w:val="00C34EA3"/>
    <w:rsid w:val="00C35AFB"/>
    <w:rsid w:val="00C36661"/>
    <w:rsid w:val="00C36A22"/>
    <w:rsid w:val="00C40B9B"/>
    <w:rsid w:val="00C4172B"/>
    <w:rsid w:val="00C4175C"/>
    <w:rsid w:val="00C4187C"/>
    <w:rsid w:val="00C41D2A"/>
    <w:rsid w:val="00C42AA5"/>
    <w:rsid w:val="00C43081"/>
    <w:rsid w:val="00C44D97"/>
    <w:rsid w:val="00C4575C"/>
    <w:rsid w:val="00C45D35"/>
    <w:rsid w:val="00C4604A"/>
    <w:rsid w:val="00C46C7D"/>
    <w:rsid w:val="00C47B5A"/>
    <w:rsid w:val="00C502B9"/>
    <w:rsid w:val="00C515AC"/>
    <w:rsid w:val="00C52D62"/>
    <w:rsid w:val="00C52EA8"/>
    <w:rsid w:val="00C53E5E"/>
    <w:rsid w:val="00C541D9"/>
    <w:rsid w:val="00C54735"/>
    <w:rsid w:val="00C5520A"/>
    <w:rsid w:val="00C5556D"/>
    <w:rsid w:val="00C55820"/>
    <w:rsid w:val="00C56426"/>
    <w:rsid w:val="00C56B03"/>
    <w:rsid w:val="00C56C96"/>
    <w:rsid w:val="00C60C7C"/>
    <w:rsid w:val="00C61B44"/>
    <w:rsid w:val="00C63438"/>
    <w:rsid w:val="00C63DBE"/>
    <w:rsid w:val="00C643F6"/>
    <w:rsid w:val="00C64EA0"/>
    <w:rsid w:val="00C657B4"/>
    <w:rsid w:val="00C657E4"/>
    <w:rsid w:val="00C65BDC"/>
    <w:rsid w:val="00C65C15"/>
    <w:rsid w:val="00C662CC"/>
    <w:rsid w:val="00C67175"/>
    <w:rsid w:val="00C67E04"/>
    <w:rsid w:val="00C70268"/>
    <w:rsid w:val="00C7032D"/>
    <w:rsid w:val="00C708FC"/>
    <w:rsid w:val="00C70AE8"/>
    <w:rsid w:val="00C70BDE"/>
    <w:rsid w:val="00C70D07"/>
    <w:rsid w:val="00C714FF"/>
    <w:rsid w:val="00C722DA"/>
    <w:rsid w:val="00C727EC"/>
    <w:rsid w:val="00C727F8"/>
    <w:rsid w:val="00C7546F"/>
    <w:rsid w:val="00C76607"/>
    <w:rsid w:val="00C77634"/>
    <w:rsid w:val="00C776EE"/>
    <w:rsid w:val="00C8195B"/>
    <w:rsid w:val="00C8271E"/>
    <w:rsid w:val="00C82948"/>
    <w:rsid w:val="00C83718"/>
    <w:rsid w:val="00C845B0"/>
    <w:rsid w:val="00C85211"/>
    <w:rsid w:val="00C85A6C"/>
    <w:rsid w:val="00C85BF4"/>
    <w:rsid w:val="00C9002F"/>
    <w:rsid w:val="00C9081A"/>
    <w:rsid w:val="00C90D06"/>
    <w:rsid w:val="00C90F08"/>
    <w:rsid w:val="00C92A95"/>
    <w:rsid w:val="00C93603"/>
    <w:rsid w:val="00C93EE9"/>
    <w:rsid w:val="00C942EE"/>
    <w:rsid w:val="00C96A32"/>
    <w:rsid w:val="00C97A42"/>
    <w:rsid w:val="00CA1B42"/>
    <w:rsid w:val="00CA1D66"/>
    <w:rsid w:val="00CA2AA9"/>
    <w:rsid w:val="00CA310C"/>
    <w:rsid w:val="00CA3BEC"/>
    <w:rsid w:val="00CA45E4"/>
    <w:rsid w:val="00CA5162"/>
    <w:rsid w:val="00CA5801"/>
    <w:rsid w:val="00CA6D19"/>
    <w:rsid w:val="00CB0BF4"/>
    <w:rsid w:val="00CB13BC"/>
    <w:rsid w:val="00CB1D22"/>
    <w:rsid w:val="00CB1EB8"/>
    <w:rsid w:val="00CB360F"/>
    <w:rsid w:val="00CB450B"/>
    <w:rsid w:val="00CB5FB3"/>
    <w:rsid w:val="00CB6E77"/>
    <w:rsid w:val="00CC03A5"/>
    <w:rsid w:val="00CC078B"/>
    <w:rsid w:val="00CC1BB3"/>
    <w:rsid w:val="00CC224E"/>
    <w:rsid w:val="00CC225C"/>
    <w:rsid w:val="00CC27F8"/>
    <w:rsid w:val="00CC3FF9"/>
    <w:rsid w:val="00CC48F5"/>
    <w:rsid w:val="00CC4ACF"/>
    <w:rsid w:val="00CC4C08"/>
    <w:rsid w:val="00CC580C"/>
    <w:rsid w:val="00CC694C"/>
    <w:rsid w:val="00CC6986"/>
    <w:rsid w:val="00CC6D85"/>
    <w:rsid w:val="00CC723C"/>
    <w:rsid w:val="00CC785B"/>
    <w:rsid w:val="00CD1512"/>
    <w:rsid w:val="00CD1CF2"/>
    <w:rsid w:val="00CD24A0"/>
    <w:rsid w:val="00CD29E6"/>
    <w:rsid w:val="00CD35FE"/>
    <w:rsid w:val="00CD36A3"/>
    <w:rsid w:val="00CD3821"/>
    <w:rsid w:val="00CD6230"/>
    <w:rsid w:val="00CD6B5C"/>
    <w:rsid w:val="00CD7D1A"/>
    <w:rsid w:val="00CE0309"/>
    <w:rsid w:val="00CE14D0"/>
    <w:rsid w:val="00CE18C9"/>
    <w:rsid w:val="00CE18D2"/>
    <w:rsid w:val="00CE18FE"/>
    <w:rsid w:val="00CE2CA8"/>
    <w:rsid w:val="00CE313A"/>
    <w:rsid w:val="00CE4043"/>
    <w:rsid w:val="00CE4A3C"/>
    <w:rsid w:val="00CE6A20"/>
    <w:rsid w:val="00CE6CFB"/>
    <w:rsid w:val="00CE6EFA"/>
    <w:rsid w:val="00CE7D94"/>
    <w:rsid w:val="00CF0434"/>
    <w:rsid w:val="00CF14A5"/>
    <w:rsid w:val="00CF3010"/>
    <w:rsid w:val="00CF3AC1"/>
    <w:rsid w:val="00CF3B99"/>
    <w:rsid w:val="00CF3CC3"/>
    <w:rsid w:val="00CF4A0D"/>
    <w:rsid w:val="00CF5012"/>
    <w:rsid w:val="00CF53D6"/>
    <w:rsid w:val="00CF5740"/>
    <w:rsid w:val="00CF5919"/>
    <w:rsid w:val="00CF6359"/>
    <w:rsid w:val="00CF6410"/>
    <w:rsid w:val="00CF7BEF"/>
    <w:rsid w:val="00D0067B"/>
    <w:rsid w:val="00D00ABA"/>
    <w:rsid w:val="00D0109C"/>
    <w:rsid w:val="00D0359B"/>
    <w:rsid w:val="00D03ADB"/>
    <w:rsid w:val="00D078E2"/>
    <w:rsid w:val="00D10207"/>
    <w:rsid w:val="00D11492"/>
    <w:rsid w:val="00D11783"/>
    <w:rsid w:val="00D117D2"/>
    <w:rsid w:val="00D11A92"/>
    <w:rsid w:val="00D122E9"/>
    <w:rsid w:val="00D1274C"/>
    <w:rsid w:val="00D12F6C"/>
    <w:rsid w:val="00D134F4"/>
    <w:rsid w:val="00D13B1E"/>
    <w:rsid w:val="00D14F8D"/>
    <w:rsid w:val="00D15DE5"/>
    <w:rsid w:val="00D16502"/>
    <w:rsid w:val="00D167D1"/>
    <w:rsid w:val="00D1681B"/>
    <w:rsid w:val="00D179D5"/>
    <w:rsid w:val="00D206B2"/>
    <w:rsid w:val="00D21515"/>
    <w:rsid w:val="00D220FF"/>
    <w:rsid w:val="00D23749"/>
    <w:rsid w:val="00D239EF"/>
    <w:rsid w:val="00D23C8D"/>
    <w:rsid w:val="00D24E93"/>
    <w:rsid w:val="00D25127"/>
    <w:rsid w:val="00D26816"/>
    <w:rsid w:val="00D27180"/>
    <w:rsid w:val="00D27707"/>
    <w:rsid w:val="00D27884"/>
    <w:rsid w:val="00D31E07"/>
    <w:rsid w:val="00D32E32"/>
    <w:rsid w:val="00D347C4"/>
    <w:rsid w:val="00D34B88"/>
    <w:rsid w:val="00D35017"/>
    <w:rsid w:val="00D35A8C"/>
    <w:rsid w:val="00D3739A"/>
    <w:rsid w:val="00D37CE4"/>
    <w:rsid w:val="00D37FBD"/>
    <w:rsid w:val="00D4141F"/>
    <w:rsid w:val="00D41820"/>
    <w:rsid w:val="00D44190"/>
    <w:rsid w:val="00D450A8"/>
    <w:rsid w:val="00D45C0A"/>
    <w:rsid w:val="00D467E3"/>
    <w:rsid w:val="00D46FCB"/>
    <w:rsid w:val="00D50399"/>
    <w:rsid w:val="00D50411"/>
    <w:rsid w:val="00D504FB"/>
    <w:rsid w:val="00D50A77"/>
    <w:rsid w:val="00D50D61"/>
    <w:rsid w:val="00D522A2"/>
    <w:rsid w:val="00D52530"/>
    <w:rsid w:val="00D54450"/>
    <w:rsid w:val="00D54FCF"/>
    <w:rsid w:val="00D556CC"/>
    <w:rsid w:val="00D559DB"/>
    <w:rsid w:val="00D55A3E"/>
    <w:rsid w:val="00D55B71"/>
    <w:rsid w:val="00D570FA"/>
    <w:rsid w:val="00D57C7A"/>
    <w:rsid w:val="00D60006"/>
    <w:rsid w:val="00D6011A"/>
    <w:rsid w:val="00D60160"/>
    <w:rsid w:val="00D60A5C"/>
    <w:rsid w:val="00D6169D"/>
    <w:rsid w:val="00D620D1"/>
    <w:rsid w:val="00D62689"/>
    <w:rsid w:val="00D650DE"/>
    <w:rsid w:val="00D65DE9"/>
    <w:rsid w:val="00D65E10"/>
    <w:rsid w:val="00D66076"/>
    <w:rsid w:val="00D66442"/>
    <w:rsid w:val="00D66591"/>
    <w:rsid w:val="00D679CD"/>
    <w:rsid w:val="00D67AFE"/>
    <w:rsid w:val="00D70735"/>
    <w:rsid w:val="00D71483"/>
    <w:rsid w:val="00D716C6"/>
    <w:rsid w:val="00D71892"/>
    <w:rsid w:val="00D719F1"/>
    <w:rsid w:val="00D721E7"/>
    <w:rsid w:val="00D73A72"/>
    <w:rsid w:val="00D751A1"/>
    <w:rsid w:val="00D7610D"/>
    <w:rsid w:val="00D76C33"/>
    <w:rsid w:val="00D803E4"/>
    <w:rsid w:val="00D803F9"/>
    <w:rsid w:val="00D80885"/>
    <w:rsid w:val="00D80A56"/>
    <w:rsid w:val="00D813CA"/>
    <w:rsid w:val="00D81987"/>
    <w:rsid w:val="00D81A69"/>
    <w:rsid w:val="00D81DAC"/>
    <w:rsid w:val="00D82629"/>
    <w:rsid w:val="00D828C0"/>
    <w:rsid w:val="00D830C7"/>
    <w:rsid w:val="00D8316F"/>
    <w:rsid w:val="00D83AF7"/>
    <w:rsid w:val="00D84294"/>
    <w:rsid w:val="00D84C87"/>
    <w:rsid w:val="00D854EC"/>
    <w:rsid w:val="00D860CD"/>
    <w:rsid w:val="00D86126"/>
    <w:rsid w:val="00D8700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E9D"/>
    <w:rsid w:val="00DA409F"/>
    <w:rsid w:val="00DA4373"/>
    <w:rsid w:val="00DA4FB4"/>
    <w:rsid w:val="00DA5A09"/>
    <w:rsid w:val="00DA618E"/>
    <w:rsid w:val="00DA673A"/>
    <w:rsid w:val="00DA6EB5"/>
    <w:rsid w:val="00DA7BF3"/>
    <w:rsid w:val="00DB06F5"/>
    <w:rsid w:val="00DB0B48"/>
    <w:rsid w:val="00DB111A"/>
    <w:rsid w:val="00DB1AE6"/>
    <w:rsid w:val="00DB1E35"/>
    <w:rsid w:val="00DB227A"/>
    <w:rsid w:val="00DB4235"/>
    <w:rsid w:val="00DB5286"/>
    <w:rsid w:val="00DB53B7"/>
    <w:rsid w:val="00DB5567"/>
    <w:rsid w:val="00DB57AE"/>
    <w:rsid w:val="00DB6F5A"/>
    <w:rsid w:val="00DB7294"/>
    <w:rsid w:val="00DB7632"/>
    <w:rsid w:val="00DB770C"/>
    <w:rsid w:val="00DC085D"/>
    <w:rsid w:val="00DC0E3A"/>
    <w:rsid w:val="00DC12C9"/>
    <w:rsid w:val="00DC1769"/>
    <w:rsid w:val="00DC1934"/>
    <w:rsid w:val="00DC1BF7"/>
    <w:rsid w:val="00DC1C7C"/>
    <w:rsid w:val="00DC1FFA"/>
    <w:rsid w:val="00DC2830"/>
    <w:rsid w:val="00DC35C6"/>
    <w:rsid w:val="00DC45A8"/>
    <w:rsid w:val="00DC4CD8"/>
    <w:rsid w:val="00DC5123"/>
    <w:rsid w:val="00DC6078"/>
    <w:rsid w:val="00DC7E98"/>
    <w:rsid w:val="00DD0A8B"/>
    <w:rsid w:val="00DD13A0"/>
    <w:rsid w:val="00DD1784"/>
    <w:rsid w:val="00DD2A88"/>
    <w:rsid w:val="00DD35D6"/>
    <w:rsid w:val="00DD3874"/>
    <w:rsid w:val="00DD3D2E"/>
    <w:rsid w:val="00DD4265"/>
    <w:rsid w:val="00DD4C47"/>
    <w:rsid w:val="00DD5D23"/>
    <w:rsid w:val="00DD6055"/>
    <w:rsid w:val="00DD6C81"/>
    <w:rsid w:val="00DD6F2E"/>
    <w:rsid w:val="00DD7107"/>
    <w:rsid w:val="00DD76A8"/>
    <w:rsid w:val="00DE0A15"/>
    <w:rsid w:val="00DE156A"/>
    <w:rsid w:val="00DE1CC1"/>
    <w:rsid w:val="00DE283A"/>
    <w:rsid w:val="00DE2DC7"/>
    <w:rsid w:val="00DE2FF9"/>
    <w:rsid w:val="00DE4FCB"/>
    <w:rsid w:val="00DE52E6"/>
    <w:rsid w:val="00DE5CB4"/>
    <w:rsid w:val="00DE6222"/>
    <w:rsid w:val="00DE6435"/>
    <w:rsid w:val="00DE7018"/>
    <w:rsid w:val="00DF0428"/>
    <w:rsid w:val="00DF0522"/>
    <w:rsid w:val="00DF1179"/>
    <w:rsid w:val="00DF127A"/>
    <w:rsid w:val="00DF1CBB"/>
    <w:rsid w:val="00DF225D"/>
    <w:rsid w:val="00DF3402"/>
    <w:rsid w:val="00DF428A"/>
    <w:rsid w:val="00DF5D9C"/>
    <w:rsid w:val="00DF6F65"/>
    <w:rsid w:val="00DF7491"/>
    <w:rsid w:val="00DF7723"/>
    <w:rsid w:val="00DF7B16"/>
    <w:rsid w:val="00E01A50"/>
    <w:rsid w:val="00E01B37"/>
    <w:rsid w:val="00E01FB1"/>
    <w:rsid w:val="00E02295"/>
    <w:rsid w:val="00E026C6"/>
    <w:rsid w:val="00E029DA"/>
    <w:rsid w:val="00E02A1D"/>
    <w:rsid w:val="00E02E03"/>
    <w:rsid w:val="00E03590"/>
    <w:rsid w:val="00E03CFA"/>
    <w:rsid w:val="00E03FD4"/>
    <w:rsid w:val="00E04242"/>
    <w:rsid w:val="00E04B98"/>
    <w:rsid w:val="00E04DA8"/>
    <w:rsid w:val="00E05F6A"/>
    <w:rsid w:val="00E0630D"/>
    <w:rsid w:val="00E063DE"/>
    <w:rsid w:val="00E0648D"/>
    <w:rsid w:val="00E06514"/>
    <w:rsid w:val="00E06C40"/>
    <w:rsid w:val="00E079D5"/>
    <w:rsid w:val="00E10633"/>
    <w:rsid w:val="00E10ED4"/>
    <w:rsid w:val="00E11A21"/>
    <w:rsid w:val="00E120C3"/>
    <w:rsid w:val="00E12C9E"/>
    <w:rsid w:val="00E12CD1"/>
    <w:rsid w:val="00E1397C"/>
    <w:rsid w:val="00E139C0"/>
    <w:rsid w:val="00E13AE5"/>
    <w:rsid w:val="00E14BCA"/>
    <w:rsid w:val="00E14E03"/>
    <w:rsid w:val="00E14E59"/>
    <w:rsid w:val="00E16D0E"/>
    <w:rsid w:val="00E16F20"/>
    <w:rsid w:val="00E17C2A"/>
    <w:rsid w:val="00E17CAD"/>
    <w:rsid w:val="00E22294"/>
    <w:rsid w:val="00E23583"/>
    <w:rsid w:val="00E2372C"/>
    <w:rsid w:val="00E2380E"/>
    <w:rsid w:val="00E23CCC"/>
    <w:rsid w:val="00E23D83"/>
    <w:rsid w:val="00E249FE"/>
    <w:rsid w:val="00E251C2"/>
    <w:rsid w:val="00E25913"/>
    <w:rsid w:val="00E2599B"/>
    <w:rsid w:val="00E261F6"/>
    <w:rsid w:val="00E266A3"/>
    <w:rsid w:val="00E27344"/>
    <w:rsid w:val="00E302BC"/>
    <w:rsid w:val="00E30384"/>
    <w:rsid w:val="00E30CC4"/>
    <w:rsid w:val="00E3173F"/>
    <w:rsid w:val="00E31BF9"/>
    <w:rsid w:val="00E31D7E"/>
    <w:rsid w:val="00E32226"/>
    <w:rsid w:val="00E3316F"/>
    <w:rsid w:val="00E33C5B"/>
    <w:rsid w:val="00E34E9C"/>
    <w:rsid w:val="00E359F9"/>
    <w:rsid w:val="00E373B3"/>
    <w:rsid w:val="00E40DB3"/>
    <w:rsid w:val="00E4100A"/>
    <w:rsid w:val="00E41674"/>
    <w:rsid w:val="00E41B7F"/>
    <w:rsid w:val="00E422E1"/>
    <w:rsid w:val="00E43789"/>
    <w:rsid w:val="00E43C26"/>
    <w:rsid w:val="00E447D8"/>
    <w:rsid w:val="00E44A12"/>
    <w:rsid w:val="00E44E30"/>
    <w:rsid w:val="00E4573F"/>
    <w:rsid w:val="00E468A3"/>
    <w:rsid w:val="00E46A1F"/>
    <w:rsid w:val="00E4773C"/>
    <w:rsid w:val="00E47803"/>
    <w:rsid w:val="00E50F04"/>
    <w:rsid w:val="00E53D76"/>
    <w:rsid w:val="00E546B4"/>
    <w:rsid w:val="00E54900"/>
    <w:rsid w:val="00E5521C"/>
    <w:rsid w:val="00E555A4"/>
    <w:rsid w:val="00E56448"/>
    <w:rsid w:val="00E577EE"/>
    <w:rsid w:val="00E60092"/>
    <w:rsid w:val="00E60E18"/>
    <w:rsid w:val="00E61D38"/>
    <w:rsid w:val="00E62EFF"/>
    <w:rsid w:val="00E6394F"/>
    <w:rsid w:val="00E64637"/>
    <w:rsid w:val="00E64E5A"/>
    <w:rsid w:val="00E651E3"/>
    <w:rsid w:val="00E659EB"/>
    <w:rsid w:val="00E65AC1"/>
    <w:rsid w:val="00E66223"/>
    <w:rsid w:val="00E66248"/>
    <w:rsid w:val="00E708CB"/>
    <w:rsid w:val="00E70A33"/>
    <w:rsid w:val="00E71360"/>
    <w:rsid w:val="00E714D5"/>
    <w:rsid w:val="00E72707"/>
    <w:rsid w:val="00E73231"/>
    <w:rsid w:val="00E738A1"/>
    <w:rsid w:val="00E73F33"/>
    <w:rsid w:val="00E74441"/>
    <w:rsid w:val="00E76203"/>
    <w:rsid w:val="00E767AB"/>
    <w:rsid w:val="00E77BB0"/>
    <w:rsid w:val="00E80008"/>
    <w:rsid w:val="00E80599"/>
    <w:rsid w:val="00E80733"/>
    <w:rsid w:val="00E810CC"/>
    <w:rsid w:val="00E815CC"/>
    <w:rsid w:val="00E83DFF"/>
    <w:rsid w:val="00E8410F"/>
    <w:rsid w:val="00E84699"/>
    <w:rsid w:val="00E86372"/>
    <w:rsid w:val="00E86DDE"/>
    <w:rsid w:val="00E870D4"/>
    <w:rsid w:val="00E9025E"/>
    <w:rsid w:val="00E90307"/>
    <w:rsid w:val="00E9044A"/>
    <w:rsid w:val="00E90B2C"/>
    <w:rsid w:val="00E91524"/>
    <w:rsid w:val="00E922B6"/>
    <w:rsid w:val="00E92AE2"/>
    <w:rsid w:val="00E92B21"/>
    <w:rsid w:val="00E92C72"/>
    <w:rsid w:val="00E92DB3"/>
    <w:rsid w:val="00E92E8A"/>
    <w:rsid w:val="00E939EC"/>
    <w:rsid w:val="00E93D44"/>
    <w:rsid w:val="00E94856"/>
    <w:rsid w:val="00E94978"/>
    <w:rsid w:val="00E949F6"/>
    <w:rsid w:val="00E94A3D"/>
    <w:rsid w:val="00E94F83"/>
    <w:rsid w:val="00E95084"/>
    <w:rsid w:val="00E9512B"/>
    <w:rsid w:val="00E95598"/>
    <w:rsid w:val="00E95995"/>
    <w:rsid w:val="00E95C99"/>
    <w:rsid w:val="00E9669E"/>
    <w:rsid w:val="00E97D9E"/>
    <w:rsid w:val="00E97E2D"/>
    <w:rsid w:val="00EA0330"/>
    <w:rsid w:val="00EA0BC8"/>
    <w:rsid w:val="00EA18DA"/>
    <w:rsid w:val="00EA1EA3"/>
    <w:rsid w:val="00EA262B"/>
    <w:rsid w:val="00EA380E"/>
    <w:rsid w:val="00EA47C7"/>
    <w:rsid w:val="00EA4ACC"/>
    <w:rsid w:val="00EA5312"/>
    <w:rsid w:val="00EA5BDF"/>
    <w:rsid w:val="00EA7062"/>
    <w:rsid w:val="00EA7756"/>
    <w:rsid w:val="00EB09D0"/>
    <w:rsid w:val="00EB11B8"/>
    <w:rsid w:val="00EB1223"/>
    <w:rsid w:val="00EB1CF7"/>
    <w:rsid w:val="00EB26A0"/>
    <w:rsid w:val="00EB3645"/>
    <w:rsid w:val="00EB3943"/>
    <w:rsid w:val="00EB3DA4"/>
    <w:rsid w:val="00EB4FEB"/>
    <w:rsid w:val="00EB591D"/>
    <w:rsid w:val="00EB6F06"/>
    <w:rsid w:val="00EB6F7C"/>
    <w:rsid w:val="00EB7F5D"/>
    <w:rsid w:val="00EC0FFB"/>
    <w:rsid w:val="00EC2089"/>
    <w:rsid w:val="00EC27B0"/>
    <w:rsid w:val="00EC3DA2"/>
    <w:rsid w:val="00EC504C"/>
    <w:rsid w:val="00EC54BC"/>
    <w:rsid w:val="00EC57E1"/>
    <w:rsid w:val="00EC667A"/>
    <w:rsid w:val="00EC6E5E"/>
    <w:rsid w:val="00EC7468"/>
    <w:rsid w:val="00EC749E"/>
    <w:rsid w:val="00ED0176"/>
    <w:rsid w:val="00ED0F80"/>
    <w:rsid w:val="00ED0FDA"/>
    <w:rsid w:val="00ED1EE1"/>
    <w:rsid w:val="00ED22F6"/>
    <w:rsid w:val="00ED2366"/>
    <w:rsid w:val="00ED358E"/>
    <w:rsid w:val="00ED38E0"/>
    <w:rsid w:val="00ED3953"/>
    <w:rsid w:val="00ED3993"/>
    <w:rsid w:val="00ED545D"/>
    <w:rsid w:val="00ED54B0"/>
    <w:rsid w:val="00ED5802"/>
    <w:rsid w:val="00ED623A"/>
    <w:rsid w:val="00ED6AC5"/>
    <w:rsid w:val="00ED6C51"/>
    <w:rsid w:val="00ED7CB2"/>
    <w:rsid w:val="00EE19F2"/>
    <w:rsid w:val="00EE2C5A"/>
    <w:rsid w:val="00EE4E75"/>
    <w:rsid w:val="00EE6BF6"/>
    <w:rsid w:val="00EE6FFA"/>
    <w:rsid w:val="00EE729B"/>
    <w:rsid w:val="00EE74B2"/>
    <w:rsid w:val="00EE75CB"/>
    <w:rsid w:val="00EE7918"/>
    <w:rsid w:val="00EE7F20"/>
    <w:rsid w:val="00EE7F56"/>
    <w:rsid w:val="00EF0965"/>
    <w:rsid w:val="00EF0B44"/>
    <w:rsid w:val="00EF1735"/>
    <w:rsid w:val="00EF1DCD"/>
    <w:rsid w:val="00EF1F87"/>
    <w:rsid w:val="00EF21EE"/>
    <w:rsid w:val="00EF25F8"/>
    <w:rsid w:val="00EF4176"/>
    <w:rsid w:val="00EF41DE"/>
    <w:rsid w:val="00EF483C"/>
    <w:rsid w:val="00EF5004"/>
    <w:rsid w:val="00EF5564"/>
    <w:rsid w:val="00EF6970"/>
    <w:rsid w:val="00EF6B8A"/>
    <w:rsid w:val="00F00047"/>
    <w:rsid w:val="00F00789"/>
    <w:rsid w:val="00F012FD"/>
    <w:rsid w:val="00F0203E"/>
    <w:rsid w:val="00F0330A"/>
    <w:rsid w:val="00F060ED"/>
    <w:rsid w:val="00F06309"/>
    <w:rsid w:val="00F06CAE"/>
    <w:rsid w:val="00F06CB4"/>
    <w:rsid w:val="00F07F24"/>
    <w:rsid w:val="00F10AB1"/>
    <w:rsid w:val="00F111CE"/>
    <w:rsid w:val="00F118D3"/>
    <w:rsid w:val="00F1192A"/>
    <w:rsid w:val="00F12EEA"/>
    <w:rsid w:val="00F14476"/>
    <w:rsid w:val="00F1452B"/>
    <w:rsid w:val="00F149E4"/>
    <w:rsid w:val="00F1518C"/>
    <w:rsid w:val="00F15864"/>
    <w:rsid w:val="00F1605F"/>
    <w:rsid w:val="00F171D6"/>
    <w:rsid w:val="00F17937"/>
    <w:rsid w:val="00F17BAD"/>
    <w:rsid w:val="00F17FDD"/>
    <w:rsid w:val="00F20A9C"/>
    <w:rsid w:val="00F21DAD"/>
    <w:rsid w:val="00F221B5"/>
    <w:rsid w:val="00F239DE"/>
    <w:rsid w:val="00F247ED"/>
    <w:rsid w:val="00F248A3"/>
    <w:rsid w:val="00F250DF"/>
    <w:rsid w:val="00F2526B"/>
    <w:rsid w:val="00F254E7"/>
    <w:rsid w:val="00F25C5B"/>
    <w:rsid w:val="00F260EC"/>
    <w:rsid w:val="00F278A6"/>
    <w:rsid w:val="00F31C06"/>
    <w:rsid w:val="00F32F61"/>
    <w:rsid w:val="00F3421A"/>
    <w:rsid w:val="00F35EBC"/>
    <w:rsid w:val="00F36C74"/>
    <w:rsid w:val="00F36FBE"/>
    <w:rsid w:val="00F37259"/>
    <w:rsid w:val="00F40FA9"/>
    <w:rsid w:val="00F4105E"/>
    <w:rsid w:val="00F428F4"/>
    <w:rsid w:val="00F42DD2"/>
    <w:rsid w:val="00F43773"/>
    <w:rsid w:val="00F44CC0"/>
    <w:rsid w:val="00F45651"/>
    <w:rsid w:val="00F46424"/>
    <w:rsid w:val="00F47D23"/>
    <w:rsid w:val="00F5003A"/>
    <w:rsid w:val="00F502B8"/>
    <w:rsid w:val="00F50D42"/>
    <w:rsid w:val="00F51227"/>
    <w:rsid w:val="00F51BDC"/>
    <w:rsid w:val="00F51D5E"/>
    <w:rsid w:val="00F52A06"/>
    <w:rsid w:val="00F52B38"/>
    <w:rsid w:val="00F53E16"/>
    <w:rsid w:val="00F54DB1"/>
    <w:rsid w:val="00F56223"/>
    <w:rsid w:val="00F60B50"/>
    <w:rsid w:val="00F60C02"/>
    <w:rsid w:val="00F61004"/>
    <w:rsid w:val="00F61F60"/>
    <w:rsid w:val="00F624A2"/>
    <w:rsid w:val="00F62B98"/>
    <w:rsid w:val="00F641A2"/>
    <w:rsid w:val="00F650C5"/>
    <w:rsid w:val="00F6572C"/>
    <w:rsid w:val="00F657C9"/>
    <w:rsid w:val="00F6599E"/>
    <w:rsid w:val="00F65B55"/>
    <w:rsid w:val="00F661DF"/>
    <w:rsid w:val="00F704FB"/>
    <w:rsid w:val="00F7184D"/>
    <w:rsid w:val="00F720DE"/>
    <w:rsid w:val="00F72C55"/>
    <w:rsid w:val="00F72D70"/>
    <w:rsid w:val="00F72E51"/>
    <w:rsid w:val="00F73C3C"/>
    <w:rsid w:val="00F740B2"/>
    <w:rsid w:val="00F75029"/>
    <w:rsid w:val="00F75093"/>
    <w:rsid w:val="00F75284"/>
    <w:rsid w:val="00F77C36"/>
    <w:rsid w:val="00F77C37"/>
    <w:rsid w:val="00F77D44"/>
    <w:rsid w:val="00F811CD"/>
    <w:rsid w:val="00F815AC"/>
    <w:rsid w:val="00F81C9A"/>
    <w:rsid w:val="00F82B3B"/>
    <w:rsid w:val="00F83225"/>
    <w:rsid w:val="00F83818"/>
    <w:rsid w:val="00F83B6D"/>
    <w:rsid w:val="00F84938"/>
    <w:rsid w:val="00F84F2D"/>
    <w:rsid w:val="00F85A89"/>
    <w:rsid w:val="00F86FD9"/>
    <w:rsid w:val="00F874BB"/>
    <w:rsid w:val="00F90A41"/>
    <w:rsid w:val="00F9102B"/>
    <w:rsid w:val="00F9130D"/>
    <w:rsid w:val="00F91AE3"/>
    <w:rsid w:val="00F91FAA"/>
    <w:rsid w:val="00F925A3"/>
    <w:rsid w:val="00F9288E"/>
    <w:rsid w:val="00F93110"/>
    <w:rsid w:val="00F93423"/>
    <w:rsid w:val="00F9346C"/>
    <w:rsid w:val="00F93638"/>
    <w:rsid w:val="00F94D60"/>
    <w:rsid w:val="00F95172"/>
    <w:rsid w:val="00F95BDE"/>
    <w:rsid w:val="00F96162"/>
    <w:rsid w:val="00F965DD"/>
    <w:rsid w:val="00F968E1"/>
    <w:rsid w:val="00F97DE0"/>
    <w:rsid w:val="00FA0527"/>
    <w:rsid w:val="00FA0760"/>
    <w:rsid w:val="00FA1338"/>
    <w:rsid w:val="00FA1739"/>
    <w:rsid w:val="00FA1E9A"/>
    <w:rsid w:val="00FA2043"/>
    <w:rsid w:val="00FA2479"/>
    <w:rsid w:val="00FA26FD"/>
    <w:rsid w:val="00FA2C5C"/>
    <w:rsid w:val="00FA4A80"/>
    <w:rsid w:val="00FA4FEF"/>
    <w:rsid w:val="00FA5BA2"/>
    <w:rsid w:val="00FA65F9"/>
    <w:rsid w:val="00FA761F"/>
    <w:rsid w:val="00FA7B41"/>
    <w:rsid w:val="00FB0E93"/>
    <w:rsid w:val="00FB130D"/>
    <w:rsid w:val="00FB2666"/>
    <w:rsid w:val="00FB2A8E"/>
    <w:rsid w:val="00FB39B2"/>
    <w:rsid w:val="00FB3E12"/>
    <w:rsid w:val="00FB448C"/>
    <w:rsid w:val="00FB448F"/>
    <w:rsid w:val="00FB4DBF"/>
    <w:rsid w:val="00FB5B6A"/>
    <w:rsid w:val="00FC01CD"/>
    <w:rsid w:val="00FC083E"/>
    <w:rsid w:val="00FC15C2"/>
    <w:rsid w:val="00FC1960"/>
    <w:rsid w:val="00FC1DF8"/>
    <w:rsid w:val="00FC1E70"/>
    <w:rsid w:val="00FC2345"/>
    <w:rsid w:val="00FC3353"/>
    <w:rsid w:val="00FC4B11"/>
    <w:rsid w:val="00FC4EAA"/>
    <w:rsid w:val="00FC67C3"/>
    <w:rsid w:val="00FD04A6"/>
    <w:rsid w:val="00FD1807"/>
    <w:rsid w:val="00FD1922"/>
    <w:rsid w:val="00FD1957"/>
    <w:rsid w:val="00FD1A79"/>
    <w:rsid w:val="00FD39C8"/>
    <w:rsid w:val="00FD417F"/>
    <w:rsid w:val="00FD4845"/>
    <w:rsid w:val="00FD5A29"/>
    <w:rsid w:val="00FD5C7E"/>
    <w:rsid w:val="00FD61E3"/>
    <w:rsid w:val="00FD6490"/>
    <w:rsid w:val="00FD7811"/>
    <w:rsid w:val="00FE00F9"/>
    <w:rsid w:val="00FE05D4"/>
    <w:rsid w:val="00FE1326"/>
    <w:rsid w:val="00FE1422"/>
    <w:rsid w:val="00FE183B"/>
    <w:rsid w:val="00FE2CA6"/>
    <w:rsid w:val="00FE2D4C"/>
    <w:rsid w:val="00FE31D4"/>
    <w:rsid w:val="00FE3AC1"/>
    <w:rsid w:val="00FE591D"/>
    <w:rsid w:val="00FE6094"/>
    <w:rsid w:val="00FE6B79"/>
    <w:rsid w:val="00FF0396"/>
    <w:rsid w:val="00FF0B81"/>
    <w:rsid w:val="00FF0D3C"/>
    <w:rsid w:val="00FF27B2"/>
    <w:rsid w:val="00FF4778"/>
    <w:rsid w:val="00FF4BB3"/>
    <w:rsid w:val="00FF5793"/>
    <w:rsid w:val="00FF5991"/>
    <w:rsid w:val="00FF5BCA"/>
    <w:rsid w:val="00FF5E44"/>
    <w:rsid w:val="00FF5FA8"/>
    <w:rsid w:val="00FF6314"/>
    <w:rsid w:val="0E76FC06"/>
    <w:rsid w:val="14885CA2"/>
    <w:rsid w:val="3E9E8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D6CB0"/>
  <w14:defaultImageDpi w14:val="0"/>
  <w15:docId w15:val="{C4C30808-7A4A-4970-B727-36664129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uiPriority="10"/>
    <w:lsdException w:name="Subtitle" w:uiPriority="1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2F9"/>
    <w:pPr>
      <w:spacing w:after="200"/>
      <w:jc w:val="both"/>
    </w:pPr>
    <w:rPr>
      <w:sz w:val="22"/>
      <w:lang w:eastAsia="en-US"/>
    </w:rPr>
  </w:style>
  <w:style w:type="paragraph" w:styleId="Heading1">
    <w:name w:val="heading 1"/>
    <w:basedOn w:val="Normal"/>
    <w:next w:val="Normal"/>
    <w:link w:val="Heading1Char"/>
    <w:uiPriority w:val="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pPr>
      <w:keepNext/>
      <w:keepLines/>
      <w:numPr>
        <w:ilvl w:val="1"/>
        <w:numId w:val="3"/>
      </w:numPr>
      <w:tabs>
        <w:tab w:val="num" w:pos="283"/>
        <w:tab w:val="num" w:pos="567"/>
      </w:tabs>
      <w:spacing w:after="120"/>
      <w:ind w:left="283" w:hanging="283"/>
      <w:outlineLvl w:val="1"/>
    </w:pPr>
    <w:rPr>
      <w:b/>
    </w:rPr>
  </w:style>
  <w:style w:type="paragraph" w:styleId="Heading3">
    <w:name w:val="heading 3"/>
    <w:basedOn w:val="Normal"/>
    <w:next w:val="Normal"/>
    <w:link w:val="Heading3Char"/>
    <w:uiPriority w:val="9"/>
    <w:pPr>
      <w:keepNext/>
      <w:numPr>
        <w:ilvl w:val="2"/>
        <w:numId w:val="3"/>
      </w:numPr>
      <w:tabs>
        <w:tab w:val="num" w:pos="283"/>
        <w:tab w:val="num" w:pos="1440"/>
      </w:tabs>
      <w:spacing w:before="240" w:after="60"/>
      <w:ind w:left="283" w:hanging="283"/>
      <w:outlineLvl w:val="2"/>
    </w:pPr>
    <w:rPr>
      <w:b/>
    </w:rPr>
  </w:style>
  <w:style w:type="paragraph" w:styleId="Heading4">
    <w:name w:val="heading 4"/>
    <w:basedOn w:val="Normal"/>
    <w:next w:val="Text4"/>
    <w:link w:val="Heading4Char"/>
    <w:uiPriority w:val="9"/>
    <w:pPr>
      <w:keepNext/>
      <w:spacing w:after="240"/>
      <w:ind w:left="1984" w:hanging="782"/>
      <w:outlineLvl w:val="3"/>
    </w:pPr>
  </w:style>
  <w:style w:type="paragraph" w:styleId="Heading5">
    <w:name w:val="heading 5"/>
    <w:basedOn w:val="Normal"/>
    <w:next w:val="Normal"/>
    <w:link w:val="Heading5Char"/>
    <w:uiPriority w:val="9"/>
    <w:pPr>
      <w:numPr>
        <w:ilvl w:val="1"/>
        <w:numId w:val="2"/>
      </w:numPr>
      <w:tabs>
        <w:tab w:val="clear" w:pos="360"/>
        <w:tab w:val="num" w:pos="0"/>
      </w:tabs>
      <w:spacing w:before="240" w:after="60"/>
      <w:ind w:left="0" w:firstLine="0"/>
      <w:outlineLvl w:val="4"/>
    </w:pPr>
    <w:rPr>
      <w:rFonts w:ascii="Arial" w:hAnsi="Arial"/>
    </w:rPr>
  </w:style>
  <w:style w:type="paragraph" w:styleId="Heading6">
    <w:name w:val="heading 6"/>
    <w:basedOn w:val="Normal"/>
    <w:next w:val="Normal"/>
    <w:link w:val="Heading6Char"/>
    <w:uiPriority w:val="9"/>
    <w:pPr>
      <w:numPr>
        <w:ilvl w:val="2"/>
        <w:numId w:val="2"/>
      </w:numPr>
      <w:tabs>
        <w:tab w:val="clear" w:pos="360"/>
        <w:tab w:val="num" w:pos="0"/>
      </w:tabs>
      <w:spacing w:before="240" w:after="60"/>
      <w:ind w:left="0" w:firstLine="0"/>
      <w:outlineLvl w:val="5"/>
    </w:pPr>
    <w:rPr>
      <w:rFonts w:ascii="Arial" w:hAnsi="Arial"/>
      <w:i/>
    </w:rPr>
  </w:style>
  <w:style w:type="paragraph" w:styleId="Heading7">
    <w:name w:val="heading 7"/>
    <w:basedOn w:val="Normal"/>
    <w:next w:val="Normal"/>
    <w:link w:val="Heading7Char"/>
    <w:uiPriority w:val="9"/>
    <w:pPr>
      <w:numPr>
        <w:ilvl w:val="6"/>
        <w:numId w:val="2"/>
      </w:numPr>
      <w:tabs>
        <w:tab w:val="clear" w:pos="360"/>
        <w:tab w:val="num" w:pos="0"/>
      </w:tabs>
      <w:spacing w:before="240" w:after="60"/>
      <w:ind w:left="0" w:firstLine="0"/>
      <w:outlineLvl w:val="6"/>
    </w:pPr>
    <w:rPr>
      <w:rFonts w:ascii="Arial" w:hAnsi="Arial"/>
      <w:sz w:val="20"/>
    </w:rPr>
  </w:style>
  <w:style w:type="paragraph" w:styleId="Heading8">
    <w:name w:val="heading 8"/>
    <w:basedOn w:val="Normal"/>
    <w:next w:val="Normal"/>
    <w:link w:val="Heading8Char"/>
    <w:uiPriority w:val="9"/>
    <w:pPr>
      <w:numPr>
        <w:ilvl w:val="7"/>
        <w:numId w:val="2"/>
      </w:numPr>
      <w:tabs>
        <w:tab w:val="clear" w:pos="360"/>
        <w:tab w:val="num" w:pos="0"/>
      </w:tabs>
      <w:spacing w:before="240" w:after="60"/>
      <w:ind w:left="0" w:firstLine="0"/>
      <w:outlineLvl w:val="7"/>
    </w:pPr>
    <w:rPr>
      <w:rFonts w:ascii="Arial" w:hAnsi="Arial"/>
      <w:i/>
      <w:sz w:val="20"/>
    </w:rPr>
  </w:style>
  <w:style w:type="paragraph" w:styleId="Heading9">
    <w:name w:val="heading 9"/>
    <w:basedOn w:val="Normal"/>
    <w:next w:val="Normal"/>
    <w:link w:val="Heading9Char"/>
    <w:uiPriority w:val="9"/>
    <w:pPr>
      <w:numPr>
        <w:ilvl w:val="8"/>
        <w:numId w:val="2"/>
      </w:numPr>
      <w:tabs>
        <w:tab w:val="clear" w:pos="360"/>
        <w:tab w:val="num" w:pos="0"/>
      </w:tabs>
      <w:spacing w:before="240" w:after="60"/>
      <w:ind w:left="0" w:firstLine="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lang w:val="x-none" w:eastAsia="en-US"/>
    </w:rPr>
  </w:style>
  <w:style w:type="character" w:customStyle="1" w:styleId="Heading2Char">
    <w:name w:val="Heading 2 Char"/>
    <w:basedOn w:val="DefaultParagraphFont"/>
    <w:link w:val="Heading2"/>
    <w:uiPriority w:val="9"/>
    <w:locked/>
    <w:rPr>
      <w:b/>
      <w:sz w:val="22"/>
      <w:lang w:eastAsia="en-US"/>
    </w:rPr>
  </w:style>
  <w:style w:type="character" w:customStyle="1" w:styleId="Heading3Char">
    <w:name w:val="Heading 3 Char"/>
    <w:basedOn w:val="DefaultParagraphFont"/>
    <w:link w:val="Heading3"/>
    <w:uiPriority w:val="9"/>
    <w:locked/>
    <w:rPr>
      <w:b/>
      <w:sz w:val="22"/>
      <w:lang w:eastAsia="en-US"/>
    </w:rPr>
  </w:style>
  <w:style w:type="character" w:customStyle="1" w:styleId="Heading4Char">
    <w:name w:val="Heading 4 Char"/>
    <w:basedOn w:val="DefaultParagraphFont"/>
    <w:link w:val="Heading4"/>
    <w:uiPriority w:val="9"/>
    <w:locked/>
    <w:rsid w:val="008109C1"/>
    <w:rPr>
      <w:rFonts w:cs="Times New Roman"/>
      <w:sz w:val="24"/>
      <w:lang w:val="x-none" w:eastAsia="en-US"/>
    </w:rPr>
  </w:style>
  <w:style w:type="character" w:customStyle="1" w:styleId="Heading5Char">
    <w:name w:val="Heading 5 Char"/>
    <w:basedOn w:val="DefaultParagraphFont"/>
    <w:link w:val="Heading5"/>
    <w:uiPriority w:val="9"/>
    <w:locked/>
    <w:rPr>
      <w:rFonts w:ascii="Arial" w:hAnsi="Arial"/>
      <w:sz w:val="22"/>
      <w:lang w:eastAsia="en-US"/>
    </w:rPr>
  </w:style>
  <w:style w:type="character" w:customStyle="1" w:styleId="Heading6Char">
    <w:name w:val="Heading 6 Char"/>
    <w:basedOn w:val="DefaultParagraphFont"/>
    <w:link w:val="Heading6"/>
    <w:uiPriority w:val="9"/>
    <w:locked/>
    <w:rPr>
      <w:rFonts w:ascii="Arial" w:hAnsi="Arial"/>
      <w:i/>
      <w:sz w:val="22"/>
      <w:lang w:eastAsia="en-US"/>
    </w:rPr>
  </w:style>
  <w:style w:type="character" w:customStyle="1" w:styleId="Heading7Char">
    <w:name w:val="Heading 7 Char"/>
    <w:basedOn w:val="DefaultParagraphFont"/>
    <w:link w:val="Heading7"/>
    <w:uiPriority w:val="9"/>
    <w:locked/>
    <w:rPr>
      <w:rFonts w:ascii="Arial" w:hAnsi="Arial"/>
      <w:lang w:eastAsia="en-US"/>
    </w:rPr>
  </w:style>
  <w:style w:type="character" w:customStyle="1" w:styleId="Heading8Char">
    <w:name w:val="Heading 8 Char"/>
    <w:basedOn w:val="DefaultParagraphFont"/>
    <w:link w:val="Heading8"/>
    <w:uiPriority w:val="9"/>
    <w:locked/>
    <w:rPr>
      <w:rFonts w:ascii="Arial" w:hAnsi="Arial"/>
      <w:i/>
      <w:lang w:eastAsia="en-US"/>
    </w:rPr>
  </w:style>
  <w:style w:type="character" w:customStyle="1" w:styleId="Heading9Char">
    <w:name w:val="Heading 9 Char"/>
    <w:basedOn w:val="DefaultParagraphFont"/>
    <w:link w:val="Heading9"/>
    <w:uiPriority w:val="9"/>
    <w:locked/>
    <w:rPr>
      <w:rFonts w:ascii="Arial" w:hAnsi="Arial"/>
      <w:i/>
      <w:sz w:val="18"/>
      <w:lang w:eastAsia="en-US"/>
    </w:rPr>
  </w:style>
  <w:style w:type="paragraph" w:customStyle="1" w:styleId="Text4">
    <w:name w:val="Text 4"/>
    <w:basedOn w:val="Normal"/>
    <w:pPr>
      <w:tabs>
        <w:tab w:val="left" w:pos="2302"/>
      </w:tabs>
      <w:spacing w:after="240"/>
      <w:ind w:left="1202"/>
    </w:pPr>
  </w:style>
  <w:style w:type="paragraph" w:customStyle="1" w:styleId="Application1">
    <w:name w:val="Application1"/>
    <w:basedOn w:val="Heading1"/>
    <w:next w:val="Application2"/>
    <w:pPr>
      <w:pageBreakBefore/>
      <w:widowControl w:val="0"/>
      <w:tabs>
        <w:tab w:val="num" w:pos="360"/>
      </w:tabs>
      <w:spacing w:before="0" w:after="480"/>
      <w:ind w:left="360" w:hanging="360"/>
    </w:pPr>
    <w:rPr>
      <w:caps/>
    </w:rPr>
  </w:style>
  <w:style w:type="paragraph" w:customStyle="1" w:styleId="Application2">
    <w:name w:val="Application2"/>
    <w:basedOn w:val="Normal"/>
    <w:pPr>
      <w:widowControl w:val="0"/>
      <w:tabs>
        <w:tab w:val="left" w:pos="567"/>
      </w:tabs>
      <w:suppressAutoHyphens/>
      <w:spacing w:after="120"/>
      <w:ind w:left="482" w:hanging="480"/>
    </w:pPr>
    <w:rPr>
      <w:rFonts w:ascii="Arial" w:hAnsi="Arial"/>
      <w:b/>
      <w:spacing w:val="-2"/>
    </w:rPr>
  </w:style>
  <w:style w:type="paragraph" w:customStyle="1" w:styleId="Application3">
    <w:name w:val="Application3"/>
    <w:basedOn w:val="Normal"/>
    <w:pPr>
      <w:widowControl w:val="0"/>
      <w:numPr>
        <w:numId w:val="1"/>
      </w:numPr>
      <w:tabs>
        <w:tab w:val="num" w:pos="0"/>
        <w:tab w:val="right" w:pos="8789"/>
      </w:tabs>
      <w:suppressAutoHyphens/>
      <w:ind w:left="360"/>
    </w:pPr>
    <w:rPr>
      <w:rFonts w:ascii="Arial" w:hAnsi="Arial"/>
      <w:b/>
      <w:spacing w:val="-2"/>
    </w:rPr>
  </w:style>
  <w:style w:type="paragraph" w:customStyle="1" w:styleId="Application4">
    <w:name w:val="Application4"/>
    <w:basedOn w:val="Application3"/>
    <w:autoRedefine/>
    <w:pPr>
      <w:numPr>
        <w:numId w:val="0"/>
      </w:numPr>
      <w:tabs>
        <w:tab w:val="num" w:pos="1492"/>
      </w:tabs>
      <w:ind w:left="567"/>
    </w:pPr>
    <w:rPr>
      <w:sz w:val="20"/>
    </w:rPr>
  </w:style>
  <w:style w:type="paragraph" w:customStyle="1" w:styleId="Application5">
    <w:name w:val="Application5"/>
    <w:basedOn w:val="Application2"/>
    <w:autoRedefine/>
    <w:p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link w:val="TitleChar"/>
    <w:uiPriority w:val="10"/>
    <w:pPr>
      <w:spacing w:after="480"/>
      <w:jc w:val="center"/>
    </w:pPr>
    <w:rPr>
      <w:b/>
      <w:sz w:val="48"/>
    </w:rPr>
  </w:style>
  <w:style w:type="character" w:customStyle="1" w:styleId="TitleChar">
    <w:name w:val="Title Char"/>
    <w:basedOn w:val="DefaultParagraphFont"/>
    <w:link w:val="Title"/>
    <w:uiPriority w:val="10"/>
    <w:locked/>
    <w:rsid w:val="00856DC2"/>
    <w:rPr>
      <w:rFonts w:cs="Times New Roman"/>
      <w:b/>
      <w:sz w:val="48"/>
      <w:lang w:val="x-none" w:eastAsia="en-US"/>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6A5527"/>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71360"/>
    <w:pPr>
      <w:tabs>
        <w:tab w:val="left" w:pos="1134"/>
        <w:tab w:val="right" w:leader="dot" w:pos="9628"/>
      </w:tabs>
      <w:spacing w:after="40"/>
      <w:ind w:left="1701" w:hanging="1134"/>
    </w:pPr>
    <w:rPr>
      <w:noProof/>
      <w:sz w:val="20"/>
    </w:rPr>
  </w:style>
  <w:style w:type="paragraph" w:styleId="TOC4">
    <w:name w:val="toc 4"/>
    <w:basedOn w:val="Normal"/>
    <w:next w:val="Normal"/>
    <w:autoRedefine/>
    <w:uiPriority w:val="39"/>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8F411B"/>
    <w:pPr>
      <w:widowControl w:val="0"/>
      <w:tabs>
        <w:tab w:val="num" w:pos="1492"/>
      </w:tabs>
      <w:spacing w:before="360" w:after="120" w:line="240" w:lineRule="atLeast"/>
      <w:ind w:left="567" w:hanging="567"/>
    </w:pPr>
    <w:rPr>
      <w:b/>
      <w:caps/>
      <w:sz w:val="28"/>
      <w:szCs w:val="28"/>
    </w:rPr>
  </w:style>
  <w:style w:type="paragraph" w:customStyle="1" w:styleId="Guidelines2">
    <w:name w:val="Guidelines 2"/>
    <w:basedOn w:val="Normal"/>
    <w:next w:val="Normal"/>
    <w:autoRedefine/>
    <w:qFormat/>
    <w:rsid w:val="008F411B"/>
    <w:pPr>
      <w:numPr>
        <w:ilvl w:val="1"/>
        <w:numId w:val="5"/>
      </w:numPr>
      <w:tabs>
        <w:tab w:val="clear" w:pos="360"/>
      </w:tabs>
      <w:spacing w:before="240" w:after="120" w:line="240" w:lineRule="atLeast"/>
      <w:ind w:left="567" w:hanging="567"/>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8F411B"/>
    <w:pPr>
      <w:keepNext/>
      <w:numPr>
        <w:ilvl w:val="2"/>
        <w:numId w:val="5"/>
      </w:numPr>
      <w:tabs>
        <w:tab w:val="left" w:pos="900"/>
      </w:tabs>
      <w:spacing w:before="240" w:after="120" w:line="240" w:lineRule="atLeast"/>
    </w:pPr>
    <w:rPr>
      <w:b/>
      <w:iCs/>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basedOn w:val="DefaultParagraphFont"/>
    <w:uiPriority w:val="99"/>
    <w:rPr>
      <w:rFonts w:cs="Times New Roman"/>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ußnotentextf,Fuﬂnotentextf,Footnote Text Blue,Geneva 9,Font: Geneva 9,Boston 10,f,Podrozdział,Footnote Text Char Char Char Char Char Char,Tekst przypisu,Footnote Text Char Char Char,Footnote,Footnote Text Char1 Char,fn,ft"/>
    <w:basedOn w:val="Normal"/>
    <w:link w:val="FootnoteTextChar"/>
    <w:autoRedefine/>
    <w:uiPriority w:val="99"/>
    <w:qFormat/>
    <w:rsid w:val="00BD0DE9"/>
    <w:pPr>
      <w:spacing w:after="0"/>
      <w:ind w:left="284" w:hanging="284"/>
      <w:jc w:val="left"/>
    </w:pPr>
    <w:rPr>
      <w:sz w:val="20"/>
    </w:rPr>
  </w:style>
  <w:style w:type="character" w:customStyle="1" w:styleId="FootnoteTextChar">
    <w:name w:val="Footnote Text Char"/>
    <w:aliases w:val="Fußnotentextf Char,Fuﬂnotentextf Char,Footnote Text Blue Char,Geneva 9 Char,Font: Geneva 9 Char,Boston 10 Char,f Char,Podrozdział Char,Footnote Text Char Char Char Char Char Char Char,Tekst przypisu Char,Footnote Char,fn Char,ft Char"/>
    <w:basedOn w:val="DefaultParagraphFont"/>
    <w:link w:val="FootnoteText"/>
    <w:uiPriority w:val="99"/>
    <w:locked/>
    <w:rsid w:val="00BD0DE9"/>
    <w:rPr>
      <w:rFonts w:cs="Times New Roman"/>
      <w:lang w:val="x-none" w:eastAsia="en-US"/>
    </w:rPr>
  </w:style>
  <w:style w:type="paragraph" w:styleId="Header">
    <w:name w:val="header"/>
    <w:basedOn w:val="Normal"/>
    <w:link w:val="HeaderChar"/>
    <w:uiPriority w:val="99"/>
    <w:pPr>
      <w:tabs>
        <w:tab w:val="center" w:pos="4153"/>
        <w:tab w:val="right" w:pos="8306"/>
      </w:tabs>
      <w:spacing w:after="240"/>
    </w:pPr>
  </w:style>
  <w:style w:type="character" w:customStyle="1" w:styleId="HeaderChar">
    <w:name w:val="Header Char"/>
    <w:basedOn w:val="DefaultParagraphFont"/>
    <w:link w:val="Header"/>
    <w:uiPriority w:val="99"/>
    <w:semiHidden/>
    <w:locked/>
    <w:rPr>
      <w:rFonts w:cs="Times New Roman"/>
      <w:sz w:val="22"/>
      <w:lang w:val="x-none" w:eastAsia="en-US"/>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ind w:right="-567"/>
    </w:pPr>
    <w:rPr>
      <w:rFonts w:ascii="Arial" w:hAnsi="Arial"/>
      <w:sz w:val="16"/>
    </w:rPr>
  </w:style>
  <w:style w:type="character" w:customStyle="1" w:styleId="FooterChar">
    <w:name w:val="Footer Char"/>
    <w:basedOn w:val="DefaultParagraphFont"/>
    <w:link w:val="Footer"/>
    <w:uiPriority w:val="99"/>
    <w:locked/>
    <w:rsid w:val="00856DC2"/>
    <w:rPr>
      <w:rFonts w:ascii="Arial" w:hAnsi="Arial" w:cs="Times New Roman"/>
      <w:sz w:val="16"/>
      <w:lang w:val="x-none" w:eastAsia="en-US"/>
    </w:rPr>
  </w:style>
  <w:style w:type="paragraph" w:customStyle="1" w:styleId="Style0">
    <w:name w:val="Style0"/>
    <w:rPr>
      <w:rFonts w:ascii="Arial" w:hAnsi="Arial"/>
      <w:sz w:val="24"/>
      <w:lang w:val="en-US"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uiPriority w:val="99"/>
  </w:style>
  <w:style w:type="character" w:customStyle="1" w:styleId="BodyTextIndentChar">
    <w:name w:val="Body Text Indent Char"/>
    <w:basedOn w:val="DefaultParagraphFont"/>
    <w:link w:val="BodyTextIndent"/>
    <w:uiPriority w:val="99"/>
    <w:locked/>
    <w:rsid w:val="0090351E"/>
    <w:rPr>
      <w:rFonts w:cs="Times New Roman"/>
      <w:sz w:val="24"/>
      <w:lang w:val="x-none" w:eastAsia="en-US"/>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semiHidden/>
    <w:pPr>
      <w:ind w:left="960"/>
    </w:pPr>
    <w:rPr>
      <w:sz w:val="20"/>
    </w:rPr>
  </w:style>
  <w:style w:type="paragraph" w:styleId="TOC7">
    <w:name w:val="toc 7"/>
    <w:basedOn w:val="Normal"/>
    <w:next w:val="Normal"/>
    <w:autoRedefine/>
    <w:uiPriority w:val="39"/>
    <w:semiHidden/>
    <w:pPr>
      <w:ind w:left="1200"/>
    </w:pPr>
    <w:rPr>
      <w:sz w:val="20"/>
    </w:rPr>
  </w:style>
  <w:style w:type="paragraph" w:styleId="TOC8">
    <w:name w:val="toc 8"/>
    <w:basedOn w:val="Normal"/>
    <w:next w:val="Normal"/>
    <w:autoRedefine/>
    <w:uiPriority w:val="39"/>
    <w:semiHidden/>
    <w:pPr>
      <w:ind w:left="1440"/>
    </w:pPr>
    <w:rPr>
      <w:sz w:val="20"/>
    </w:rPr>
  </w:style>
  <w:style w:type="paragraph" w:styleId="TOC9">
    <w:name w:val="toc 9"/>
    <w:basedOn w:val="Normal"/>
    <w:next w:val="Normal"/>
    <w:autoRedefine/>
    <w:uiPriority w:val="39"/>
    <w:semiHidden/>
    <w:pPr>
      <w:ind w:left="1680"/>
    </w:pPr>
    <w:rPr>
      <w:sz w:val="20"/>
    </w:rPr>
  </w:style>
  <w:style w:type="character" w:styleId="FollowedHyperlink">
    <w:name w:val="FollowedHyperlink"/>
    <w:basedOn w:val="DefaultParagraphFont"/>
    <w:uiPriority w:val="99"/>
    <w:rPr>
      <w:rFonts w:cs="Times New Roman"/>
      <w:color w:val="800080"/>
      <w:u w:val="single"/>
    </w:rPr>
  </w:style>
  <w:style w:type="paragraph" w:customStyle="1" w:styleId="NumPar2">
    <w:name w:val="NumPar 2"/>
    <w:basedOn w:val="Heading2"/>
    <w:next w:val="Text2"/>
    <w:pPr>
      <w:keepNext w:val="0"/>
      <w:keepLines w:val="0"/>
      <w:numPr>
        <w:ilvl w:val="0"/>
        <w:numId w:val="0"/>
      </w:numPr>
      <w:tabs>
        <w:tab w:val="num" w:pos="360"/>
      </w:tabs>
      <w:spacing w:after="240"/>
      <w:ind w:left="283" w:hanging="283"/>
      <w:outlineLvl w:val="9"/>
    </w:pPr>
    <w:rPr>
      <w:b w:val="0"/>
      <w:lang w:val="fr-FR"/>
    </w:rPr>
  </w:style>
  <w:style w:type="paragraph" w:styleId="ListBullet5">
    <w:name w:val="List Bullet 5"/>
    <w:basedOn w:val="Normal"/>
    <w:autoRedefine/>
    <w:uiPriority w:val="99"/>
    <w:pPr>
      <w:tabs>
        <w:tab w:val="num" w:pos="360"/>
      </w:tabs>
      <w:spacing w:after="240"/>
      <w:ind w:left="360" w:hanging="360"/>
    </w:pPr>
    <w:rPr>
      <w:lang w:val="fr-FR"/>
    </w:rPr>
  </w:style>
  <w:style w:type="paragraph" w:styleId="ListBullet">
    <w:name w:val="List Bullet"/>
    <w:basedOn w:val="Normal"/>
    <w:link w:val="ListBulletChar"/>
    <w:uiPriority w:val="99"/>
    <w:rsid w:val="00684AFF"/>
    <w:pPr>
      <w:tabs>
        <w:tab w:val="num" w:pos="567"/>
      </w:tabs>
      <w:spacing w:after="240"/>
      <w:ind w:left="567" w:hanging="283"/>
    </w:pPr>
    <w:rPr>
      <w:lang w:eastAsia="en-GB"/>
    </w:rPr>
  </w:style>
  <w:style w:type="character" w:customStyle="1" w:styleId="ListBulletChar">
    <w:name w:val="List Bullet Char"/>
    <w:link w:val="ListBullet"/>
    <w:uiPriority w:val="99"/>
    <w:locked/>
    <w:rsid w:val="00CF6359"/>
    <w:rPr>
      <w:sz w:val="22"/>
      <w:lang w:val="en-GB" w:eastAsia="en-GB"/>
    </w:rPr>
  </w:style>
  <w:style w:type="paragraph" w:customStyle="1" w:styleId="TOC30">
    <w:name w:val="TOC3"/>
    <w:basedOn w:val="Normal"/>
    <w:rsid w:val="00D67AFE"/>
  </w:style>
  <w:style w:type="paragraph" w:customStyle="1" w:styleId="ListDash2">
    <w:name w:val="List Dash 2"/>
    <w:basedOn w:val="Text2"/>
    <w:rsid w:val="00A636FE"/>
    <w:pPr>
      <w:tabs>
        <w:tab w:val="clear" w:pos="2161"/>
        <w:tab w:val="num" w:pos="0"/>
        <w:tab w:val="num" w:pos="1485"/>
      </w:tabs>
      <w:ind w:left="1485" w:hanging="283"/>
    </w:pPr>
  </w:style>
  <w:style w:type="table" w:styleId="TableGrid">
    <w:name w:val="Table Grid"/>
    <w:basedOn w:val="TableNormal"/>
    <w:uiPriority w:val="39"/>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rsid w:val="006A7719"/>
    <w:pPr>
      <w:spacing w:before="120" w:after="120"/>
      <w:jc w:val="center"/>
    </w:pPr>
    <w:rPr>
      <w:rFonts w:ascii="Arial" w:hAnsi="Arial"/>
      <w:b/>
      <w:sz w:val="28"/>
      <w:lang w:val="fr-BE"/>
    </w:rPr>
  </w:style>
  <w:style w:type="character" w:customStyle="1" w:styleId="SubtitleChar">
    <w:name w:val="Subtitle Char"/>
    <w:basedOn w:val="DefaultParagraphFont"/>
    <w:link w:val="Subtitle"/>
    <w:uiPriority w:val="11"/>
    <w:locked/>
    <w:rsid w:val="00EE4E75"/>
    <w:rPr>
      <w:rFonts w:ascii="Arial" w:hAnsi="Arial" w:cs="Times New Roman"/>
      <w:b/>
      <w:sz w:val="28"/>
      <w:lang w:val="fr-BE" w:eastAsia="en-US"/>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locked/>
    <w:rsid w:val="00CF6359"/>
    <w:rPr>
      <w:sz w:val="22"/>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basedOn w:val="DefaultParagraphFont"/>
    <w:link w:val="CommentText"/>
    <w:uiPriority w:val="99"/>
    <w:locked/>
    <w:rsid w:val="00A6227D"/>
    <w:rPr>
      <w:rFonts w:cs="Times New Roman"/>
      <w:lang w:val="x-none" w:eastAsia="en-US"/>
    </w:rPr>
  </w:style>
  <w:style w:type="paragraph" w:styleId="CommentSubject">
    <w:name w:val="annotation subject"/>
    <w:basedOn w:val="Normal"/>
    <w:next w:val="CommentText"/>
    <w:link w:val="CommentSubjectChar"/>
    <w:uiPriority w:val="99"/>
    <w:semiHidden/>
    <w:rsid w:val="0090351E"/>
    <w:rPr>
      <w:b/>
      <w:bCs/>
      <w:sz w:val="20"/>
    </w:rPr>
  </w:style>
  <w:style w:type="character" w:customStyle="1" w:styleId="CommentSubjectChar">
    <w:name w:val="Comment Subject Char"/>
    <w:basedOn w:val="CommentTextChar"/>
    <w:link w:val="CommentSubject"/>
    <w:uiPriority w:val="99"/>
    <w:semiHidden/>
    <w:locked/>
    <w:rPr>
      <w:rFonts w:cs="Times New Roman"/>
      <w:b/>
      <w:lang w:val="x-none" w:eastAsia="en-US"/>
    </w:rPr>
  </w:style>
  <w:style w:type="character" w:customStyle="1" w:styleId="Style11pt">
    <w:name w:val="Style 11 pt"/>
    <w:rsid w:val="00B41A93"/>
    <w:rPr>
      <w:sz w:val="22"/>
    </w:rPr>
  </w:style>
  <w:style w:type="paragraph" w:customStyle="1" w:styleId="ListDash">
    <w:name w:val="List Dash"/>
    <w:basedOn w:val="Normal"/>
    <w:rsid w:val="00B17D2F"/>
    <w:pPr>
      <w:tabs>
        <w:tab w:val="num" w:pos="283"/>
        <w:tab w:val="num" w:pos="567"/>
      </w:tabs>
      <w:spacing w:after="240"/>
      <w:ind w:left="283" w:hanging="283"/>
    </w:pPr>
    <w:rPr>
      <w:lang w:val="fr-FR"/>
    </w:rPr>
  </w:style>
  <w:style w:type="paragraph" w:customStyle="1" w:styleId="Style11ptJustifiedAfter6pt">
    <w:name w:val="Style 11 pt Justified After:  6 pt"/>
    <w:basedOn w:val="Normal"/>
    <w:rsid w:val="0022128C"/>
    <w:pPr>
      <w:spacing w:after="120"/>
    </w:pPr>
    <w:rPr>
      <w:szCs w:val="22"/>
      <w:lang w:eastAsia="en-GB"/>
    </w:rPr>
  </w:style>
  <w:style w:type="paragraph" w:styleId="ListNumber2">
    <w:name w:val="List Number 2"/>
    <w:basedOn w:val="Text2"/>
    <w:uiPriority w:val="99"/>
    <w:rsid w:val="0022128C"/>
    <w:pPr>
      <w:tabs>
        <w:tab w:val="clear" w:pos="2161"/>
        <w:tab w:val="num" w:pos="0"/>
        <w:tab w:val="num" w:pos="1485"/>
        <w:tab w:val="num" w:pos="1911"/>
      </w:tabs>
      <w:ind w:left="1911" w:hanging="709"/>
    </w:pPr>
  </w:style>
  <w:style w:type="paragraph" w:customStyle="1" w:styleId="ListNumber2Level2">
    <w:name w:val="List Number 2 (Level 2)"/>
    <w:basedOn w:val="Text2"/>
    <w:rsid w:val="0022128C"/>
    <w:pPr>
      <w:numPr>
        <w:ilvl w:val="1"/>
        <w:numId w:val="4"/>
      </w:numPr>
      <w:tabs>
        <w:tab w:val="clear" w:pos="2161"/>
        <w:tab w:val="num" w:pos="1485"/>
        <w:tab w:val="num" w:pos="2619"/>
      </w:tabs>
      <w:ind w:left="2619" w:hanging="708"/>
    </w:pPr>
  </w:style>
  <w:style w:type="paragraph" w:customStyle="1" w:styleId="ListNumber2Level3">
    <w:name w:val="List Number 2 (Level 3)"/>
    <w:basedOn w:val="Text2"/>
    <w:rsid w:val="0022128C"/>
    <w:pPr>
      <w:numPr>
        <w:ilvl w:val="2"/>
        <w:numId w:val="4"/>
      </w:numPr>
      <w:tabs>
        <w:tab w:val="clear" w:pos="2161"/>
        <w:tab w:val="num" w:pos="1485"/>
        <w:tab w:val="num" w:pos="3328"/>
      </w:tabs>
      <w:ind w:left="3328" w:hanging="709"/>
    </w:pPr>
  </w:style>
  <w:style w:type="paragraph" w:customStyle="1" w:styleId="ListNumber2Level4">
    <w:name w:val="List Number 2 (Level 4)"/>
    <w:basedOn w:val="Text2"/>
    <w:rsid w:val="0022128C"/>
    <w:pPr>
      <w:numPr>
        <w:ilvl w:val="3"/>
        <w:numId w:val="4"/>
      </w:numPr>
      <w:tabs>
        <w:tab w:val="clear" w:pos="2161"/>
        <w:tab w:val="num" w:pos="1485"/>
        <w:tab w:val="num" w:pos="4037"/>
      </w:tabs>
      <w:ind w:left="4037" w:hanging="709"/>
    </w:pPr>
  </w:style>
  <w:style w:type="character" w:styleId="Strong">
    <w:name w:val="Strong"/>
    <w:basedOn w:val="DefaultParagraphFont"/>
    <w:uiPriority w:val="22"/>
    <w:rsid w:val="005D1CFA"/>
    <w:rPr>
      <w:rFonts w:cs="Times New Roman"/>
      <w:b/>
    </w:rPr>
  </w:style>
  <w:style w:type="paragraph" w:styleId="Revision">
    <w:name w:val="Revision"/>
    <w:hidden/>
    <w:uiPriority w:val="99"/>
    <w:semiHidden/>
    <w:rsid w:val="008B4F07"/>
    <w:rPr>
      <w:sz w:val="24"/>
      <w:lang w:eastAsia="en-US"/>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uiPriority w:val="99"/>
    <w:rsid w:val="0021362B"/>
    <w:pPr>
      <w:spacing w:before="120"/>
    </w:pPr>
    <w:rPr>
      <w:rFonts w:ascii="Cambria" w:hAnsi="Cambria"/>
      <w:b/>
      <w:bCs/>
      <w:szCs w:val="24"/>
    </w:rPr>
  </w:style>
  <w:style w:type="character" w:styleId="FootnoteReference">
    <w:name w:val="footnote reference"/>
    <w:basedOn w:val="DefaultParagraphFont"/>
    <w:link w:val="Char2"/>
    <w:uiPriority w:val="99"/>
    <w:qFormat/>
    <w:locked/>
    <w:rsid w:val="004D357E"/>
    <w:rPr>
      <w:rFonts w:cs="Times New Roman"/>
      <w:sz w:val="24"/>
      <w:vertAlign w:val="superscript"/>
    </w:rPr>
  </w:style>
  <w:style w:type="paragraph" w:styleId="BalloonText">
    <w:name w:val="Balloon Text"/>
    <w:basedOn w:val="Normal"/>
    <w:link w:val="BalloonTextChar"/>
    <w:uiPriority w:val="99"/>
    <w:rsid w:val="00AF32BC"/>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AF32BC"/>
    <w:rPr>
      <w:rFonts w:ascii="Tahoma" w:hAnsi="Tahoma" w:cs="Times New Roman"/>
      <w:sz w:val="16"/>
      <w:lang w:val="x-none" w:eastAsia="en-US"/>
    </w:rPr>
  </w:style>
  <w:style w:type="character" w:styleId="CommentReference">
    <w:name w:val="annotation reference"/>
    <w:basedOn w:val="DefaultParagraphFont"/>
    <w:uiPriority w:val="99"/>
    <w:rsid w:val="00A6227D"/>
    <w:rPr>
      <w:rFonts w:cs="Times New Roman"/>
      <w:sz w:val="16"/>
    </w:rPr>
  </w:style>
  <w:style w:type="paragraph" w:customStyle="1" w:styleId="Char2">
    <w:name w:val="Char2"/>
    <w:basedOn w:val="Normal"/>
    <w:link w:val="FootnoteReference"/>
    <w:uiPriority w:val="99"/>
    <w:rsid w:val="00DB57AE"/>
    <w:pPr>
      <w:spacing w:before="120" w:after="160" w:line="240" w:lineRule="exact"/>
      <w:jc w:val="left"/>
    </w:pPr>
    <w:rPr>
      <w:sz w:val="24"/>
      <w:vertAlign w:val="superscript"/>
      <w:lang w:eastAsia="en-GB"/>
    </w:rPr>
  </w:style>
  <w:style w:type="paragraph" w:customStyle="1" w:styleId="Default">
    <w:name w:val="Default"/>
    <w:rsid w:val="00EE4E75"/>
    <w:pPr>
      <w:autoSpaceDE w:val="0"/>
      <w:autoSpaceDN w:val="0"/>
      <w:adjustRightInd w:val="0"/>
    </w:pPr>
    <w:rPr>
      <w:color w:val="000000"/>
      <w:sz w:val="24"/>
      <w:szCs w:val="24"/>
    </w:rPr>
  </w:style>
  <w:style w:type="paragraph" w:styleId="Caption">
    <w:name w:val="caption"/>
    <w:basedOn w:val="Normal"/>
    <w:next w:val="Normal"/>
    <w:uiPriority w:val="35"/>
    <w:unhideWhenUsed/>
    <w:qFormat/>
    <w:rsid w:val="00A6547C"/>
    <w:rPr>
      <w:b/>
      <w:bCs/>
      <w:sz w:val="20"/>
    </w:rPr>
  </w:style>
  <w:style w:type="paragraph" w:customStyle="1" w:styleId="Normal-box">
    <w:name w:val="Normal - box"/>
    <w:basedOn w:val="Normal"/>
    <w:qFormat/>
    <w:rsid w:val="00F83818"/>
    <w:pPr>
      <w:pBdr>
        <w:top w:val="single" w:sz="4" w:space="1" w:color="auto"/>
        <w:left w:val="single" w:sz="4" w:space="4" w:color="auto"/>
        <w:bottom w:val="single" w:sz="4" w:space="1" w:color="auto"/>
        <w:right w:val="single" w:sz="4" w:space="4" w:color="auto"/>
      </w:pBdr>
      <w:autoSpaceDE w:val="0"/>
      <w:autoSpaceDN w:val="0"/>
      <w:adjustRightInd w:val="0"/>
      <w:spacing w:before="120" w:after="120"/>
    </w:pPr>
    <w:rPr>
      <w:bCs/>
      <w:lang w:val="fr-BE"/>
    </w:rPr>
  </w:style>
  <w:style w:type="character" w:customStyle="1" w:styleId="UnresolvedMention1">
    <w:name w:val="Unresolved Mention1"/>
    <w:basedOn w:val="DefaultParagraphFont"/>
    <w:uiPriority w:val="99"/>
    <w:semiHidden/>
    <w:unhideWhenUsed/>
    <w:rsid w:val="00F83818"/>
    <w:rPr>
      <w:rFonts w:cs="Times New Roman"/>
      <w:color w:val="605E5C"/>
      <w:shd w:val="clear" w:color="auto" w:fill="E1DFDD"/>
    </w:rPr>
  </w:style>
  <w:style w:type="paragraph" w:customStyle="1" w:styleId="pf0">
    <w:name w:val="pf0"/>
    <w:basedOn w:val="Normal"/>
    <w:rsid w:val="00355806"/>
    <w:pPr>
      <w:spacing w:before="100" w:beforeAutospacing="1" w:after="100" w:afterAutospacing="1"/>
    </w:pPr>
    <w:rPr>
      <w:sz w:val="24"/>
      <w:szCs w:val="24"/>
      <w:lang w:val="fr-BE" w:eastAsia="fr-BE"/>
    </w:rPr>
  </w:style>
  <w:style w:type="paragraph" w:customStyle="1" w:styleId="StyleGuidelines1After6ptLinespacingAtleast12pt">
    <w:name w:val="Style Guidelines 1 + After:  6 pt Line spacing:  At least 12 pt"/>
    <w:basedOn w:val="Guidelines1"/>
    <w:autoRedefine/>
    <w:rsid w:val="008F411B"/>
    <w:pPr>
      <w:ind w:left="284" w:hanging="284"/>
    </w:pPr>
    <w:rPr>
      <w:bCs/>
    </w:rPr>
  </w:style>
  <w:style w:type="paragraph" w:styleId="TOCHeading">
    <w:name w:val="TOC Heading"/>
    <w:basedOn w:val="Heading1"/>
    <w:next w:val="Normal"/>
    <w:uiPriority w:val="39"/>
    <w:unhideWhenUsed/>
    <w:qFormat/>
    <w:rsid w:val="00DA409F"/>
    <w:pPr>
      <w:keepLines/>
      <w:spacing w:after="0" w:line="259" w:lineRule="auto"/>
      <w:jc w:val="left"/>
      <w:outlineLvl w:val="9"/>
    </w:pPr>
    <w:rPr>
      <w:rFonts w:ascii="Aptos Display" w:hAnsi="Aptos Display"/>
      <w:b w:val="0"/>
      <w:color w:val="0F4761"/>
      <w:kern w:val="0"/>
      <w:sz w:val="32"/>
      <w:szCs w:val="32"/>
      <w:lang w:val="en-US"/>
    </w:rPr>
  </w:style>
  <w:style w:type="character" w:styleId="UnresolvedMention">
    <w:name w:val="Unresolved Mention"/>
    <w:basedOn w:val="DefaultParagraphFont"/>
    <w:uiPriority w:val="99"/>
    <w:semiHidden/>
    <w:unhideWhenUsed/>
    <w:rsid w:val="00EC2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769">
      <w:marLeft w:val="0"/>
      <w:marRight w:val="0"/>
      <w:marTop w:val="0"/>
      <w:marBottom w:val="0"/>
      <w:divBdr>
        <w:top w:val="none" w:sz="0" w:space="0" w:color="auto"/>
        <w:left w:val="none" w:sz="0" w:space="0" w:color="auto"/>
        <w:bottom w:val="none" w:sz="0" w:space="0" w:color="auto"/>
        <w:right w:val="none" w:sz="0" w:space="0" w:color="auto"/>
      </w:divBdr>
    </w:div>
    <w:div w:id="31393770">
      <w:marLeft w:val="0"/>
      <w:marRight w:val="0"/>
      <w:marTop w:val="0"/>
      <w:marBottom w:val="0"/>
      <w:divBdr>
        <w:top w:val="none" w:sz="0" w:space="0" w:color="auto"/>
        <w:left w:val="none" w:sz="0" w:space="0" w:color="auto"/>
        <w:bottom w:val="none" w:sz="0" w:space="0" w:color="auto"/>
        <w:right w:val="none" w:sz="0" w:space="0" w:color="auto"/>
      </w:divBdr>
    </w:div>
    <w:div w:id="31393771">
      <w:marLeft w:val="0"/>
      <w:marRight w:val="0"/>
      <w:marTop w:val="0"/>
      <w:marBottom w:val="0"/>
      <w:divBdr>
        <w:top w:val="none" w:sz="0" w:space="0" w:color="auto"/>
        <w:left w:val="none" w:sz="0" w:space="0" w:color="auto"/>
        <w:bottom w:val="none" w:sz="0" w:space="0" w:color="auto"/>
        <w:right w:val="none" w:sz="0" w:space="0" w:color="auto"/>
      </w:divBdr>
    </w:div>
    <w:div w:id="31393772">
      <w:marLeft w:val="0"/>
      <w:marRight w:val="0"/>
      <w:marTop w:val="0"/>
      <w:marBottom w:val="0"/>
      <w:divBdr>
        <w:top w:val="none" w:sz="0" w:space="0" w:color="auto"/>
        <w:left w:val="none" w:sz="0" w:space="0" w:color="auto"/>
        <w:bottom w:val="none" w:sz="0" w:space="0" w:color="auto"/>
        <w:right w:val="none" w:sz="0" w:space="0" w:color="auto"/>
      </w:divBdr>
    </w:div>
    <w:div w:id="31393773">
      <w:marLeft w:val="0"/>
      <w:marRight w:val="0"/>
      <w:marTop w:val="0"/>
      <w:marBottom w:val="0"/>
      <w:divBdr>
        <w:top w:val="none" w:sz="0" w:space="0" w:color="auto"/>
        <w:left w:val="none" w:sz="0" w:space="0" w:color="auto"/>
        <w:bottom w:val="none" w:sz="0" w:space="0" w:color="auto"/>
        <w:right w:val="none" w:sz="0" w:space="0" w:color="auto"/>
      </w:divBdr>
    </w:div>
    <w:div w:id="31393774">
      <w:marLeft w:val="0"/>
      <w:marRight w:val="0"/>
      <w:marTop w:val="0"/>
      <w:marBottom w:val="0"/>
      <w:divBdr>
        <w:top w:val="none" w:sz="0" w:space="0" w:color="auto"/>
        <w:left w:val="none" w:sz="0" w:space="0" w:color="auto"/>
        <w:bottom w:val="none" w:sz="0" w:space="0" w:color="auto"/>
        <w:right w:val="none" w:sz="0" w:space="0" w:color="auto"/>
      </w:divBdr>
    </w:div>
    <w:div w:id="31393775">
      <w:marLeft w:val="0"/>
      <w:marRight w:val="0"/>
      <w:marTop w:val="0"/>
      <w:marBottom w:val="0"/>
      <w:divBdr>
        <w:top w:val="none" w:sz="0" w:space="0" w:color="auto"/>
        <w:left w:val="none" w:sz="0" w:space="0" w:color="auto"/>
        <w:bottom w:val="none" w:sz="0" w:space="0" w:color="auto"/>
        <w:right w:val="none" w:sz="0" w:space="0" w:color="auto"/>
      </w:divBdr>
    </w:div>
    <w:div w:id="31393776">
      <w:marLeft w:val="0"/>
      <w:marRight w:val="0"/>
      <w:marTop w:val="0"/>
      <w:marBottom w:val="0"/>
      <w:divBdr>
        <w:top w:val="none" w:sz="0" w:space="0" w:color="auto"/>
        <w:left w:val="none" w:sz="0" w:space="0" w:color="auto"/>
        <w:bottom w:val="none" w:sz="0" w:space="0" w:color="auto"/>
        <w:right w:val="none" w:sz="0" w:space="0" w:color="auto"/>
      </w:divBdr>
    </w:div>
    <w:div w:id="31393777">
      <w:marLeft w:val="0"/>
      <w:marRight w:val="0"/>
      <w:marTop w:val="0"/>
      <w:marBottom w:val="0"/>
      <w:divBdr>
        <w:top w:val="none" w:sz="0" w:space="0" w:color="auto"/>
        <w:left w:val="none" w:sz="0" w:space="0" w:color="auto"/>
        <w:bottom w:val="none" w:sz="0" w:space="0" w:color="auto"/>
        <w:right w:val="none" w:sz="0" w:space="0" w:color="auto"/>
      </w:divBdr>
    </w:div>
    <w:div w:id="31393778">
      <w:marLeft w:val="0"/>
      <w:marRight w:val="0"/>
      <w:marTop w:val="0"/>
      <w:marBottom w:val="0"/>
      <w:divBdr>
        <w:top w:val="none" w:sz="0" w:space="0" w:color="auto"/>
        <w:left w:val="none" w:sz="0" w:space="0" w:color="auto"/>
        <w:bottom w:val="none" w:sz="0" w:space="0" w:color="auto"/>
        <w:right w:val="none" w:sz="0" w:space="0" w:color="auto"/>
      </w:divBdr>
    </w:div>
    <w:div w:id="31393779">
      <w:marLeft w:val="0"/>
      <w:marRight w:val="0"/>
      <w:marTop w:val="0"/>
      <w:marBottom w:val="0"/>
      <w:divBdr>
        <w:top w:val="none" w:sz="0" w:space="0" w:color="auto"/>
        <w:left w:val="none" w:sz="0" w:space="0" w:color="auto"/>
        <w:bottom w:val="none" w:sz="0" w:space="0" w:color="auto"/>
        <w:right w:val="none" w:sz="0" w:space="0" w:color="auto"/>
      </w:divBdr>
    </w:div>
    <w:div w:id="31393780">
      <w:marLeft w:val="0"/>
      <w:marRight w:val="0"/>
      <w:marTop w:val="0"/>
      <w:marBottom w:val="0"/>
      <w:divBdr>
        <w:top w:val="none" w:sz="0" w:space="0" w:color="auto"/>
        <w:left w:val="none" w:sz="0" w:space="0" w:color="auto"/>
        <w:bottom w:val="none" w:sz="0" w:space="0" w:color="auto"/>
        <w:right w:val="none" w:sz="0" w:space="0" w:color="auto"/>
      </w:divBdr>
    </w:div>
    <w:div w:id="31393781">
      <w:marLeft w:val="0"/>
      <w:marRight w:val="0"/>
      <w:marTop w:val="0"/>
      <w:marBottom w:val="0"/>
      <w:divBdr>
        <w:top w:val="none" w:sz="0" w:space="0" w:color="auto"/>
        <w:left w:val="none" w:sz="0" w:space="0" w:color="auto"/>
        <w:bottom w:val="none" w:sz="0" w:space="0" w:color="auto"/>
        <w:right w:val="none" w:sz="0" w:space="0" w:color="auto"/>
      </w:divBdr>
    </w:div>
    <w:div w:id="31393782">
      <w:marLeft w:val="0"/>
      <w:marRight w:val="0"/>
      <w:marTop w:val="0"/>
      <w:marBottom w:val="0"/>
      <w:divBdr>
        <w:top w:val="none" w:sz="0" w:space="0" w:color="auto"/>
        <w:left w:val="none" w:sz="0" w:space="0" w:color="auto"/>
        <w:bottom w:val="none" w:sz="0" w:space="0" w:color="auto"/>
        <w:right w:val="none" w:sz="0" w:space="0" w:color="auto"/>
      </w:divBdr>
    </w:div>
    <w:div w:id="31393783">
      <w:marLeft w:val="0"/>
      <w:marRight w:val="0"/>
      <w:marTop w:val="0"/>
      <w:marBottom w:val="0"/>
      <w:divBdr>
        <w:top w:val="none" w:sz="0" w:space="0" w:color="auto"/>
        <w:left w:val="none" w:sz="0" w:space="0" w:color="auto"/>
        <w:bottom w:val="none" w:sz="0" w:space="0" w:color="auto"/>
        <w:right w:val="none" w:sz="0" w:space="0" w:color="auto"/>
      </w:divBdr>
    </w:div>
    <w:div w:id="31393784">
      <w:marLeft w:val="0"/>
      <w:marRight w:val="0"/>
      <w:marTop w:val="0"/>
      <w:marBottom w:val="0"/>
      <w:divBdr>
        <w:top w:val="none" w:sz="0" w:space="0" w:color="auto"/>
        <w:left w:val="none" w:sz="0" w:space="0" w:color="auto"/>
        <w:bottom w:val="none" w:sz="0" w:space="0" w:color="auto"/>
        <w:right w:val="none" w:sz="0" w:space="0" w:color="auto"/>
      </w:divBdr>
    </w:div>
    <w:div w:id="31393785">
      <w:marLeft w:val="0"/>
      <w:marRight w:val="0"/>
      <w:marTop w:val="0"/>
      <w:marBottom w:val="0"/>
      <w:divBdr>
        <w:top w:val="none" w:sz="0" w:space="0" w:color="auto"/>
        <w:left w:val="none" w:sz="0" w:space="0" w:color="auto"/>
        <w:bottom w:val="none" w:sz="0" w:space="0" w:color="auto"/>
        <w:right w:val="none" w:sz="0" w:space="0" w:color="auto"/>
      </w:divBdr>
    </w:div>
    <w:div w:id="31393786">
      <w:marLeft w:val="0"/>
      <w:marRight w:val="0"/>
      <w:marTop w:val="0"/>
      <w:marBottom w:val="0"/>
      <w:divBdr>
        <w:top w:val="none" w:sz="0" w:space="0" w:color="auto"/>
        <w:left w:val="none" w:sz="0" w:space="0" w:color="auto"/>
        <w:bottom w:val="none" w:sz="0" w:space="0" w:color="auto"/>
        <w:right w:val="none" w:sz="0" w:space="0" w:color="auto"/>
      </w:divBdr>
    </w:div>
    <w:div w:id="31393787">
      <w:marLeft w:val="0"/>
      <w:marRight w:val="0"/>
      <w:marTop w:val="0"/>
      <w:marBottom w:val="0"/>
      <w:divBdr>
        <w:top w:val="none" w:sz="0" w:space="0" w:color="auto"/>
        <w:left w:val="none" w:sz="0" w:space="0" w:color="auto"/>
        <w:bottom w:val="none" w:sz="0" w:space="0" w:color="auto"/>
        <w:right w:val="none" w:sz="0" w:space="0" w:color="auto"/>
      </w:divBdr>
    </w:div>
    <w:div w:id="233590090">
      <w:bodyDiv w:val="1"/>
      <w:marLeft w:val="0"/>
      <w:marRight w:val="0"/>
      <w:marTop w:val="0"/>
      <w:marBottom w:val="0"/>
      <w:divBdr>
        <w:top w:val="none" w:sz="0" w:space="0" w:color="auto"/>
        <w:left w:val="none" w:sz="0" w:space="0" w:color="auto"/>
        <w:bottom w:val="none" w:sz="0" w:space="0" w:color="auto"/>
        <w:right w:val="none" w:sz="0" w:space="0" w:color="auto"/>
      </w:divBdr>
    </w:div>
    <w:div w:id="14979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info/funding-tenders/opportunities/portal/screen/how-to-participate/participant-register" TargetMode="External"/><Relationship Id="rId26" Type="http://schemas.openxmlformats.org/officeDocument/2006/relationships/hyperlink" Target="https://ec.europa.eu/international-partnerships/home_fr" TargetMode="External"/><Relationship Id="rId39" Type="http://schemas.openxmlformats.org/officeDocument/2006/relationships/hyperlink" Target="https://wikis.ec.europa.eu/display/ExactExternalWiki/ePRAG" TargetMode="External"/><Relationship Id="rId21" Type="http://schemas.openxmlformats.org/officeDocument/2006/relationships/hyperlink" Target="mailto:" TargetMode="External"/><Relationship Id="rId34" Type="http://schemas.openxmlformats.org/officeDocument/2006/relationships/hyperlink" Target="mailto:" TargetMode="External"/><Relationship Id="rId42" Type="http://schemas.openxmlformats.org/officeDocument/2006/relationships/hyperlink" Target="https://ec.europa.eu/international-partnerships/financial-management-toolkit_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europa.eu/international-partnerships/comm-visibility-requirements_en"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s.ec.europa.eu/display/ExactExternalWiki/Manual+for+Applicants+-+e-Calls+PROSPECT" TargetMode="External"/><Relationship Id="rId24" Type="http://schemas.openxmlformats.org/officeDocument/2006/relationships/hyperlink" Target="http://www.timeanddate.com/worldclock/converter.html" TargetMode="External"/><Relationship Id="rId32" Type="http://schemas.openxmlformats.org/officeDocument/2006/relationships/hyperlink" Target="https://ec.europa.eu/info/funding-tenders/opportunities/portal/screen/home%20" TargetMode="External"/><Relationship Id="rId37" Type="http://schemas.openxmlformats.org/officeDocument/2006/relationships/hyperlink" Target="http://ec.europa.eu/budget/explained/management/protecting/protect_en.cfm" TargetMode="External"/><Relationship Id="rId40" Type="http://schemas.openxmlformats.org/officeDocument/2006/relationships/hyperlink" Target="https://ec.europa.eu/international-partnerships/funding/managing-project_en"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ikis.ec.europa.eu/display/ExactExternalWiki/ePRAG" TargetMode="External"/><Relationship Id="rId23" Type="http://schemas.openxmlformats.org/officeDocument/2006/relationships/hyperlink" Target="https://webgate.ec.europa.eu/prospect" TargetMode="External"/><Relationship Id="rId28" Type="http://schemas.openxmlformats.org/officeDocument/2006/relationships/hyperlink" Target="mailto:ec-external-relations-application-support@ec.europa.eu" TargetMode="External"/><Relationship Id="rId36" Type="http://schemas.openxmlformats.org/officeDocument/2006/relationships/hyperlink" Target="https://ec.europa.eu/info/funding-tenders/opportunities/portal/screen/home%20" TargetMode="External"/><Relationship Id="rId10" Type="http://schemas.openxmlformats.org/officeDocument/2006/relationships/hyperlink" Target="https://us06web.zoom.us/webinar/register/WN_7H1zEe-7QI-Gfek71NW8NQ" TargetMode="External"/><Relationship Id="rId19" Type="http://schemas.openxmlformats.org/officeDocument/2006/relationships/hyperlink" Target="https://ec.europa.eu/info/funding-tenders/opportunities/portal/screen/how-to-participate/participant-register" TargetMode="External"/><Relationship Id="rId31" Type="http://schemas.openxmlformats.org/officeDocument/2006/relationships/hyperlink" Target="https://ec.europa.eu/international-partnerships/home_f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meanddate.com/worldclock/converter.html" TargetMode="External"/><Relationship Id="rId14" Type="http://schemas.openxmlformats.org/officeDocument/2006/relationships/footer" Target="footer2.xml"/><Relationship Id="rId22" Type="http://schemas.openxmlformats.org/officeDocument/2006/relationships/hyperlink" Target="https://ec.europa.eu/budget/financial-transparency-system/index.html" TargetMode="External"/><Relationship Id="rId27" Type="http://schemas.openxmlformats.org/officeDocument/2006/relationships/hyperlink" Target="https://ec.europa.eu/info/funding-tenders/opportunities/portal/screen/home%20" TargetMode="External"/><Relationship Id="rId30" Type="http://schemas.openxmlformats.org/officeDocument/2006/relationships/hyperlink" Target="https://webgate.ec.europa.eu/prospect" TargetMode="External"/><Relationship Id="rId35" Type="http://schemas.openxmlformats.org/officeDocument/2006/relationships/hyperlink" Target="https://ec.europa.eu/international-partnerships/home_fr" TargetMode="External"/><Relationship Id="rId43" Type="http://schemas.openxmlformats.org/officeDocument/2006/relationships/hyperlink" Target="https://commission.europa.eu/strategy-and-policy/eu-budget/how-it-works/annual-lifecycle/implementation/anti-fraud-measures/edes_en"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ikis.ec.europa.eu/display/ExactExternalWiki/e-Learning+Videos+-+e-Calls+PROPECT" TargetMode="External"/><Relationship Id="rId17" Type="http://schemas.openxmlformats.org/officeDocument/2006/relationships/hyperlink" Target="https://webgate.ec.europa.eu/pador" TargetMode="External"/><Relationship Id="rId25" Type="http://schemas.openxmlformats.org/officeDocument/2006/relationships/hyperlink" Target="https://us06web.zoom.us/webinar/register/WN_7H1zEe-7QI-Gfek71NW8NQ" TargetMode="External"/><Relationship Id="rId33" Type="http://schemas.openxmlformats.org/officeDocument/2006/relationships/hyperlink" Target="mailto:ec-external-relations-application-support@ec.europa.eu" TargetMode="External"/><Relationship Id="rId38" Type="http://schemas.openxmlformats.org/officeDocument/2006/relationships/hyperlink" Target="https://international-partnerships.ec.europa.eu/funding/guidelines/managing-project/diem-rates_en" TargetMode="External"/><Relationship Id="rId20" Type="http://schemas.openxmlformats.org/officeDocument/2006/relationships/hyperlink" Target="mailto:ec-external-relations-application-support@ec.europa.eu" TargetMode="External"/><Relationship Id="rId41" Type="http://schemas.openxmlformats.org/officeDocument/2006/relationships/hyperlink" Target="https://wikis.ec.europa.eu/pages/viewpage.action?pageId=4816923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largement.ec.europa.eu/ukraine-report-2025_en" TargetMode="External"/><Relationship Id="rId13" Type="http://schemas.openxmlformats.org/officeDocument/2006/relationships/hyperlink" Target="https://international-partnerships.ec.europa.eu/policies/peace-and-governance/human-rights_en" TargetMode="External"/><Relationship Id="rId18" Type="http://schemas.openxmlformats.org/officeDocument/2006/relationships/hyperlink" Target="https://wikis.ec.europa.eu/spaces/ExactExternalWiki/pages/152798613/2.+Basic+rules" TargetMode="External"/><Relationship Id="rId3" Type="http://schemas.openxmlformats.org/officeDocument/2006/relationships/hyperlink" Target="mailto:" TargetMode="External"/><Relationship Id="rId7" Type="http://schemas.openxmlformats.org/officeDocument/2006/relationships/hyperlink" Target="https://zakon.rada.gov.ua/laws/show/487/2021" TargetMode="External"/><Relationship Id="rId12" Type="http://schemas.openxmlformats.org/officeDocument/2006/relationships/hyperlink" Target="https://www.eeas.europa.eu/sites/default/files/documents/2024/Action-Plan-EN_2020-2027.pdf" TargetMode="External"/><Relationship Id="rId17" Type="http://schemas.openxmlformats.org/officeDocument/2006/relationships/hyperlink" Target="https://wikis.ec.europa.eu/download/attachments/152798822/a2a1_ecprogrammes_eligibility2021_2027_en.docx?version=3&amp;modificationDate=1737020877385&amp;api=v2" TargetMode="External"/><Relationship Id="rId2" Type="http://schemas.openxmlformats.org/officeDocument/2006/relationships/hyperlink" Target="mailto:ec-external-relations-application-support@ec.europa.eu" TargetMode="External"/><Relationship Id="rId16" Type="http://schemas.openxmlformats.org/officeDocument/2006/relationships/hyperlink" Target="https://capacity4dev.europa.eu/resources/results-indicators/core-indicators-design-and-monitoring-eu-funded-interventions_en" TargetMode="External"/><Relationship Id="rId1" Type="http://schemas.openxmlformats.org/officeDocument/2006/relationships/hyperlink" Target="http://www.timeanddate.com/worldclock/converter.html" TargetMode="External"/><Relationship Id="rId6" Type="http://schemas.openxmlformats.org/officeDocument/2006/relationships/hyperlink" Target="https://enlargement.ec.europa.eu/ukraine-report-2025_en" TargetMode="External"/><Relationship Id="rId11" Type="http://schemas.openxmlformats.org/officeDocument/2006/relationships/hyperlink" Target="https://capacity4dev.europa.eu/groups/country-level-implementation-plans-clips-gender/info_en" TargetMode="External"/><Relationship Id="rId5" Type="http://schemas.openxmlformats.org/officeDocument/2006/relationships/hyperlink" Target="https://enlargement.ec.europa.eu/european-neighbourhood-policy/countries-region/ukraine_en" TargetMode="External"/><Relationship Id="rId15" Type="http://schemas.openxmlformats.org/officeDocument/2006/relationships/hyperlink" Target="https://capacity4dev.europa.eu/library/human-rights-based-approach-hrba-toolbox_en" TargetMode="External"/><Relationship Id="rId10" Type="http://schemas.openxmlformats.org/officeDocument/2006/relationships/hyperlink" Target="https://euneighbourseast.eu/wp-content/uploads/2023/09/eu4genderhelpdesk_ukrainegenderprofile_2023-cgp_v3.pdf" TargetMode="External"/><Relationship Id="rId19" Type="http://schemas.openxmlformats.org/officeDocument/2006/relationships/hyperlink" Target="https://ec.europa.eu/info/funding-tenders/opportunities/docs/2021-2027/common/guidance/unit-cost-decision" TargetMode="External"/><Relationship Id="rId4" Type="http://schemas.openxmlformats.org/officeDocument/2006/relationships/hyperlink" Target="https://documents.worldbank.org/en/publication/documents-reports/documentdetail/099022025114040022" TargetMode="External"/><Relationship Id="rId9" Type="http://schemas.openxmlformats.org/officeDocument/2006/relationships/hyperlink" Target="https://enlargement.ec.europa.eu/dg-near-guidelines-eu-support-civil-society-enlargement-region-2021-2027_en" TargetMode="External"/><Relationship Id="rId14" Type="http://schemas.openxmlformats.org/officeDocument/2006/relationships/hyperlink" Target="https://eur-lex.europa.eu/eli/reg/2024/792/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DC35E-F770-4C09-B67D-0EC1295D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15617</Words>
  <Characters>89019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lpstr>
    </vt:vector>
  </TitlesOfParts>
  <Company>European Commission</Company>
  <LinksUpToDate>false</LinksUpToDate>
  <CharactersWithSpaces>104428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florean</dc:creator>
  <cp:keywords/>
  <dc:description/>
  <cp:lastModifiedBy>SCHMIDT Sybille (EEAS-KYIV)</cp:lastModifiedBy>
  <cp:revision>4</cp:revision>
  <cp:lastPrinted>2025-08-27T17:55:00Z</cp:lastPrinted>
  <dcterms:created xsi:type="dcterms:W3CDTF">2025-11-13T12:04:00Z</dcterms:created>
  <dcterms:modified xsi:type="dcterms:W3CDTF">2025-11-17T15:09:00Z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MSIP_Label_6bd9ddd1-4d20-43f6-abfa-fc3c07406f94_Enabled">
    <vt:lpwstr>true</vt:lpwstr>
  </property>
  <property fmtid="{D5CDD505-2E9C-101B-9397-08002B2CF9AE}" pid="6" name="MSIP_Label_6bd9ddd1-4d20-43f6-abfa-fc3c07406f94_SetDate">
    <vt:lpwstr>2023-06-20T09:10:53Z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7c6722dd-fa7d-469a-86a6-6412288c692a</vt:lpwstr>
  </property>
  <property fmtid="{D5CDD505-2E9C-101B-9397-08002B2CF9AE}" pid="11" name="MSIP_Label_6bd9ddd1-4d20-43f6-abfa-fc3c07406f94_ContentBits">
    <vt:lpwstr>0</vt:lpwstr>
  </property>
</Properties>
</file>